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A30" w:rsidRPr="00C64118" w:rsidRDefault="00CA4A30" w:rsidP="00C5582C">
      <w:pPr>
        <w:ind w:right="-143" w:firstLine="709"/>
        <w:jc w:val="center"/>
        <w:rPr>
          <w:b/>
          <w:bCs/>
          <w:sz w:val="28"/>
          <w:szCs w:val="28"/>
          <w:lang w:val="uk-UA"/>
        </w:rPr>
      </w:pPr>
      <w:r w:rsidRPr="00C64118">
        <w:rPr>
          <w:b/>
          <w:bCs/>
          <w:sz w:val="28"/>
          <w:szCs w:val="28"/>
          <w:lang w:val="uk-UA"/>
        </w:rPr>
        <w:t>І</w:t>
      </w:r>
      <w:r w:rsidR="00C64118" w:rsidRPr="00C64118">
        <w:rPr>
          <w:b/>
          <w:bCs/>
          <w:sz w:val="28"/>
          <w:szCs w:val="28"/>
          <w:lang w:val="uk-UA"/>
        </w:rPr>
        <w:t xml:space="preserve">нформація </w:t>
      </w:r>
    </w:p>
    <w:p w:rsidR="00C64118" w:rsidRPr="00C64118" w:rsidRDefault="00C64118" w:rsidP="00C5582C">
      <w:pPr>
        <w:ind w:right="-143" w:firstLine="709"/>
        <w:jc w:val="center"/>
        <w:rPr>
          <w:b/>
          <w:bCs/>
          <w:sz w:val="28"/>
          <w:szCs w:val="28"/>
          <w:lang w:val="uk-UA"/>
        </w:rPr>
      </w:pPr>
      <w:r w:rsidRPr="00C64118">
        <w:rPr>
          <w:b/>
          <w:bCs/>
          <w:sz w:val="28"/>
          <w:szCs w:val="28"/>
          <w:lang w:val="uk-UA"/>
        </w:rPr>
        <w:t>щодо ведення мисливського господарства</w:t>
      </w:r>
    </w:p>
    <w:p w:rsidR="00663990" w:rsidRPr="00C64118" w:rsidRDefault="00C64118" w:rsidP="00C5582C">
      <w:pPr>
        <w:ind w:right="-143" w:firstLine="709"/>
        <w:jc w:val="center"/>
        <w:rPr>
          <w:b/>
          <w:bCs/>
          <w:sz w:val="28"/>
          <w:szCs w:val="28"/>
          <w:lang w:val="uk-UA"/>
        </w:rPr>
      </w:pPr>
      <w:r w:rsidRPr="00C64118">
        <w:rPr>
          <w:b/>
          <w:bCs/>
          <w:sz w:val="28"/>
          <w:szCs w:val="28"/>
          <w:lang w:val="uk-UA"/>
        </w:rPr>
        <w:t>користувачами мисливських угідь Житомирської області</w:t>
      </w:r>
    </w:p>
    <w:p w:rsidR="001F760E" w:rsidRDefault="001F760E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30588F" w:rsidRPr="0030588F" w:rsidRDefault="0030588F" w:rsidP="00C5582C">
      <w:pPr>
        <w:ind w:right="-143" w:firstLine="709"/>
        <w:jc w:val="both"/>
        <w:rPr>
          <w:b/>
          <w:bCs/>
          <w:sz w:val="28"/>
          <w:szCs w:val="28"/>
          <w:lang w:val="uk-UA"/>
        </w:rPr>
      </w:pPr>
      <w:r w:rsidRPr="0030588F">
        <w:rPr>
          <w:bCs/>
          <w:sz w:val="28"/>
          <w:szCs w:val="28"/>
          <w:lang w:val="uk-UA"/>
        </w:rPr>
        <w:t xml:space="preserve">На території Житомирської області здійснюють свою діяльність 84 користувачі мисливських угідь. </w:t>
      </w:r>
      <w:r>
        <w:rPr>
          <w:bCs/>
          <w:sz w:val="28"/>
          <w:szCs w:val="28"/>
          <w:lang w:val="uk-UA"/>
        </w:rPr>
        <w:t xml:space="preserve">Зокрема: </w:t>
      </w:r>
      <w:r w:rsidRPr="0030588F">
        <w:rPr>
          <w:b/>
          <w:bCs/>
          <w:sz w:val="28"/>
          <w:szCs w:val="28"/>
          <w:lang w:val="uk-UA"/>
        </w:rPr>
        <w:t>18</w:t>
      </w:r>
      <w:r w:rsidRPr="0030588F">
        <w:rPr>
          <w:bCs/>
          <w:sz w:val="28"/>
          <w:szCs w:val="28"/>
          <w:lang w:val="uk-UA"/>
        </w:rPr>
        <w:t xml:space="preserve"> державних підприємств Житомирського обласного управління лісового та мисливського господарства, Житомирська обласна організація УТМР,  </w:t>
      </w:r>
      <w:r w:rsidRPr="0030588F">
        <w:rPr>
          <w:b/>
          <w:bCs/>
          <w:sz w:val="28"/>
          <w:szCs w:val="28"/>
          <w:lang w:val="uk-UA"/>
        </w:rPr>
        <w:t>8</w:t>
      </w:r>
      <w:r w:rsidRPr="0030588F">
        <w:rPr>
          <w:bCs/>
          <w:sz w:val="28"/>
          <w:szCs w:val="28"/>
          <w:lang w:val="uk-UA"/>
        </w:rPr>
        <w:t xml:space="preserve"> окремих районних організацій УТМР, ДП «</w:t>
      </w:r>
      <w:proofErr w:type="spellStart"/>
      <w:r w:rsidRPr="0030588F">
        <w:rPr>
          <w:bCs/>
          <w:sz w:val="28"/>
          <w:szCs w:val="28"/>
          <w:lang w:val="uk-UA"/>
        </w:rPr>
        <w:t>Тригірсьтке</w:t>
      </w:r>
      <w:proofErr w:type="spellEnd"/>
      <w:r w:rsidRPr="0030588F">
        <w:rPr>
          <w:bCs/>
          <w:sz w:val="28"/>
          <w:szCs w:val="28"/>
          <w:lang w:val="uk-UA"/>
        </w:rPr>
        <w:t xml:space="preserve"> ВМГ ТВМР ЗСУ та </w:t>
      </w:r>
      <w:r w:rsidRPr="0030588F">
        <w:rPr>
          <w:b/>
          <w:bCs/>
          <w:sz w:val="28"/>
          <w:szCs w:val="28"/>
          <w:lang w:val="uk-UA"/>
        </w:rPr>
        <w:t xml:space="preserve">56 </w:t>
      </w:r>
      <w:r w:rsidRPr="0030588F">
        <w:rPr>
          <w:bCs/>
          <w:sz w:val="28"/>
          <w:szCs w:val="28"/>
          <w:lang w:val="uk-UA"/>
        </w:rPr>
        <w:t>інших користувачів.</w:t>
      </w:r>
      <w:r w:rsidRPr="0030588F">
        <w:rPr>
          <w:b/>
          <w:bCs/>
          <w:sz w:val="28"/>
          <w:szCs w:val="28"/>
          <w:lang w:val="uk-UA"/>
        </w:rPr>
        <w:t xml:space="preserve"> </w:t>
      </w:r>
    </w:p>
    <w:p w:rsidR="00B56FC2" w:rsidRDefault="0030588F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 w:rsidRPr="0030588F">
        <w:rPr>
          <w:bCs/>
          <w:sz w:val="28"/>
          <w:szCs w:val="28"/>
          <w:lang w:val="uk-UA"/>
        </w:rPr>
        <w:t xml:space="preserve">Станом на 01.03.15 користувачі мисливських угідь області господарюють на </w:t>
      </w:r>
      <w:r w:rsidR="00B56FC2">
        <w:rPr>
          <w:bCs/>
          <w:sz w:val="28"/>
          <w:szCs w:val="28"/>
          <w:lang w:val="uk-UA"/>
        </w:rPr>
        <w:t xml:space="preserve">загальній </w:t>
      </w:r>
      <w:r w:rsidRPr="0030588F">
        <w:rPr>
          <w:bCs/>
          <w:sz w:val="28"/>
          <w:szCs w:val="28"/>
          <w:lang w:val="uk-UA"/>
        </w:rPr>
        <w:t xml:space="preserve">площі </w:t>
      </w:r>
      <w:r w:rsidR="00B56FC2">
        <w:rPr>
          <w:bCs/>
          <w:sz w:val="28"/>
          <w:szCs w:val="28"/>
          <w:lang w:val="uk-UA"/>
        </w:rPr>
        <w:t xml:space="preserve">розміром </w:t>
      </w:r>
      <w:r w:rsidRPr="0030588F">
        <w:rPr>
          <w:bCs/>
          <w:sz w:val="28"/>
          <w:szCs w:val="28"/>
          <w:lang w:val="uk-UA"/>
        </w:rPr>
        <w:t xml:space="preserve">2 млн. 184,9 тис. га, що становить майже 5% від загальної площі мисливських угідь по Україні. </w:t>
      </w:r>
    </w:p>
    <w:p w:rsidR="00F934A7" w:rsidRDefault="0030588F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 w:rsidRPr="0030588F">
        <w:rPr>
          <w:bCs/>
          <w:sz w:val="28"/>
          <w:szCs w:val="28"/>
          <w:lang w:val="uk-UA"/>
        </w:rPr>
        <w:t>Зокрема, лісові мисливські угіддя</w:t>
      </w:r>
      <w:r w:rsidR="00B56FC2">
        <w:rPr>
          <w:bCs/>
          <w:sz w:val="28"/>
          <w:szCs w:val="28"/>
          <w:lang w:val="uk-UA"/>
        </w:rPr>
        <w:t xml:space="preserve"> становлять </w:t>
      </w:r>
      <w:r w:rsidR="00F934A7">
        <w:rPr>
          <w:bCs/>
          <w:sz w:val="28"/>
          <w:szCs w:val="28"/>
          <w:lang w:val="uk-UA"/>
        </w:rPr>
        <w:t>915,</w:t>
      </w:r>
      <w:r w:rsidR="001E1F29">
        <w:rPr>
          <w:bCs/>
          <w:sz w:val="28"/>
          <w:szCs w:val="28"/>
          <w:lang w:val="uk-UA"/>
        </w:rPr>
        <w:t>5</w:t>
      </w:r>
      <w:r w:rsidR="00F934A7" w:rsidRPr="00794F1D">
        <w:rPr>
          <w:bCs/>
          <w:sz w:val="28"/>
          <w:szCs w:val="28"/>
          <w:lang w:val="uk-UA"/>
        </w:rPr>
        <w:t xml:space="preserve"> тис. га</w:t>
      </w:r>
      <w:r w:rsidR="00F934A7">
        <w:rPr>
          <w:bCs/>
          <w:sz w:val="28"/>
          <w:szCs w:val="28"/>
          <w:lang w:val="uk-UA"/>
        </w:rPr>
        <w:t xml:space="preserve"> (</w:t>
      </w:r>
      <w:r w:rsidR="00B56FC2">
        <w:rPr>
          <w:bCs/>
          <w:sz w:val="28"/>
          <w:szCs w:val="28"/>
          <w:lang w:val="uk-UA"/>
        </w:rPr>
        <w:t xml:space="preserve">або майже </w:t>
      </w:r>
      <w:r w:rsidR="00F934A7">
        <w:rPr>
          <w:bCs/>
          <w:sz w:val="28"/>
          <w:szCs w:val="28"/>
          <w:lang w:val="uk-UA"/>
        </w:rPr>
        <w:t>41,9 % від загальної площі мисливських угідь області)</w:t>
      </w:r>
      <w:r w:rsidR="00F934A7" w:rsidRPr="00794F1D">
        <w:rPr>
          <w:bCs/>
          <w:sz w:val="28"/>
          <w:szCs w:val="28"/>
          <w:lang w:val="uk-UA"/>
        </w:rPr>
        <w:t>, польов</w:t>
      </w:r>
      <w:r w:rsidR="00B56FC2">
        <w:rPr>
          <w:bCs/>
          <w:sz w:val="28"/>
          <w:szCs w:val="28"/>
          <w:lang w:val="uk-UA"/>
        </w:rPr>
        <w:t>і</w:t>
      </w:r>
      <w:r w:rsidR="00F934A7" w:rsidRPr="00794F1D">
        <w:rPr>
          <w:bCs/>
          <w:sz w:val="28"/>
          <w:szCs w:val="28"/>
          <w:lang w:val="uk-UA"/>
        </w:rPr>
        <w:t xml:space="preserve"> – 1 млн. 1</w:t>
      </w:r>
      <w:r w:rsidR="001E1F29">
        <w:rPr>
          <w:bCs/>
          <w:sz w:val="28"/>
          <w:szCs w:val="28"/>
          <w:lang w:val="uk-UA"/>
        </w:rPr>
        <w:t>55</w:t>
      </w:r>
      <w:r w:rsidR="00F934A7" w:rsidRPr="00794F1D">
        <w:rPr>
          <w:bCs/>
          <w:sz w:val="28"/>
          <w:szCs w:val="28"/>
          <w:lang w:val="uk-UA"/>
        </w:rPr>
        <w:t>,</w:t>
      </w:r>
      <w:r w:rsidR="001E1F29">
        <w:rPr>
          <w:bCs/>
          <w:sz w:val="28"/>
          <w:szCs w:val="28"/>
          <w:lang w:val="uk-UA"/>
        </w:rPr>
        <w:t>7</w:t>
      </w:r>
      <w:r w:rsidR="00F934A7" w:rsidRPr="00794F1D">
        <w:rPr>
          <w:bCs/>
          <w:sz w:val="28"/>
          <w:szCs w:val="28"/>
          <w:lang w:val="uk-UA"/>
        </w:rPr>
        <w:t xml:space="preserve"> тис. га</w:t>
      </w:r>
      <w:r w:rsidR="00F934A7">
        <w:rPr>
          <w:bCs/>
          <w:sz w:val="28"/>
          <w:szCs w:val="28"/>
          <w:lang w:val="uk-UA"/>
        </w:rPr>
        <w:t xml:space="preserve"> (</w:t>
      </w:r>
      <w:r w:rsidR="00B56FC2">
        <w:rPr>
          <w:bCs/>
          <w:sz w:val="28"/>
          <w:szCs w:val="28"/>
          <w:lang w:val="uk-UA"/>
        </w:rPr>
        <w:t xml:space="preserve">або </w:t>
      </w:r>
      <w:r w:rsidR="00F934A7">
        <w:rPr>
          <w:bCs/>
          <w:sz w:val="28"/>
          <w:szCs w:val="28"/>
          <w:lang w:val="uk-UA"/>
        </w:rPr>
        <w:t>52,</w:t>
      </w:r>
      <w:r w:rsidR="001E1F29">
        <w:rPr>
          <w:bCs/>
          <w:sz w:val="28"/>
          <w:szCs w:val="28"/>
          <w:lang w:val="uk-UA"/>
        </w:rPr>
        <w:t>9</w:t>
      </w:r>
      <w:r w:rsidR="00F934A7">
        <w:rPr>
          <w:bCs/>
          <w:sz w:val="28"/>
          <w:szCs w:val="28"/>
          <w:lang w:val="uk-UA"/>
        </w:rPr>
        <w:t xml:space="preserve"> %)</w:t>
      </w:r>
      <w:r w:rsidR="00F934A7" w:rsidRPr="00794F1D">
        <w:rPr>
          <w:bCs/>
          <w:sz w:val="28"/>
          <w:szCs w:val="28"/>
          <w:lang w:val="uk-UA"/>
        </w:rPr>
        <w:t>, водно-болотн</w:t>
      </w:r>
      <w:r w:rsidR="00B56FC2">
        <w:rPr>
          <w:bCs/>
          <w:sz w:val="28"/>
          <w:szCs w:val="28"/>
          <w:lang w:val="uk-UA"/>
        </w:rPr>
        <w:t xml:space="preserve">і </w:t>
      </w:r>
      <w:r w:rsidR="00F934A7" w:rsidRPr="00794F1D">
        <w:rPr>
          <w:bCs/>
          <w:sz w:val="28"/>
          <w:szCs w:val="28"/>
          <w:lang w:val="uk-UA"/>
        </w:rPr>
        <w:t>– 11</w:t>
      </w:r>
      <w:r w:rsidR="001E1F29">
        <w:rPr>
          <w:bCs/>
          <w:sz w:val="28"/>
          <w:szCs w:val="28"/>
          <w:lang w:val="uk-UA"/>
        </w:rPr>
        <w:t>3</w:t>
      </w:r>
      <w:r w:rsidR="00F934A7" w:rsidRPr="00794F1D">
        <w:rPr>
          <w:bCs/>
          <w:sz w:val="28"/>
          <w:szCs w:val="28"/>
          <w:lang w:val="uk-UA"/>
        </w:rPr>
        <w:t>,</w:t>
      </w:r>
      <w:r w:rsidR="001E1F29">
        <w:rPr>
          <w:bCs/>
          <w:sz w:val="28"/>
          <w:szCs w:val="28"/>
          <w:lang w:val="uk-UA"/>
        </w:rPr>
        <w:t>7</w:t>
      </w:r>
      <w:r w:rsidR="00F934A7" w:rsidRPr="00794F1D">
        <w:rPr>
          <w:bCs/>
          <w:sz w:val="28"/>
          <w:szCs w:val="28"/>
          <w:lang w:val="uk-UA"/>
        </w:rPr>
        <w:t xml:space="preserve"> тис. га</w:t>
      </w:r>
      <w:r w:rsidR="00F934A7">
        <w:rPr>
          <w:bCs/>
          <w:sz w:val="28"/>
          <w:szCs w:val="28"/>
          <w:lang w:val="uk-UA"/>
        </w:rPr>
        <w:t xml:space="preserve"> (</w:t>
      </w:r>
      <w:r w:rsidR="00B56FC2">
        <w:rPr>
          <w:bCs/>
          <w:sz w:val="28"/>
          <w:szCs w:val="28"/>
          <w:lang w:val="uk-UA"/>
        </w:rPr>
        <w:t xml:space="preserve">або </w:t>
      </w:r>
      <w:r w:rsidR="00F934A7">
        <w:rPr>
          <w:bCs/>
          <w:sz w:val="28"/>
          <w:szCs w:val="28"/>
          <w:lang w:val="uk-UA"/>
        </w:rPr>
        <w:t>5,</w:t>
      </w:r>
      <w:r w:rsidR="001E1F29">
        <w:rPr>
          <w:bCs/>
          <w:sz w:val="28"/>
          <w:szCs w:val="28"/>
          <w:lang w:val="uk-UA"/>
        </w:rPr>
        <w:t>2</w:t>
      </w:r>
      <w:r w:rsidR="00F934A7">
        <w:rPr>
          <w:bCs/>
          <w:sz w:val="28"/>
          <w:szCs w:val="28"/>
          <w:lang w:val="uk-UA"/>
        </w:rPr>
        <w:t xml:space="preserve"> %)</w:t>
      </w:r>
      <w:r w:rsidR="00F934A7" w:rsidRPr="00794F1D">
        <w:rPr>
          <w:bCs/>
          <w:sz w:val="28"/>
          <w:szCs w:val="28"/>
          <w:lang w:val="uk-UA"/>
        </w:rPr>
        <w:t>.</w:t>
      </w: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F934A7" w:rsidRPr="00CF456F" w:rsidRDefault="008A42E0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E5FB716" wp14:editId="28FF84BC">
            <wp:extent cx="4476750" cy="2762250"/>
            <wp:effectExtent l="0" t="0" r="0" b="0"/>
            <wp:docPr id="16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CF456F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Основними користувачами мисливських угідь є Житомирська обласна організація УТМР, площа закріплених мисливських угідь якої становить               1 млн. 81,4</w:t>
      </w:r>
      <w:r w:rsidRPr="00794F1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тис. га (або 49,5 % від загальної площі), та державні лісогосподарські підприємства Житомирського </w:t>
      </w:r>
      <w:r w:rsidRPr="00B56FC2">
        <w:rPr>
          <w:bCs/>
          <w:sz w:val="28"/>
          <w:szCs w:val="28"/>
          <w:lang w:val="uk-UA"/>
        </w:rPr>
        <w:t>обласного управління лісового та мисливського госпо</w:t>
      </w:r>
      <w:r>
        <w:rPr>
          <w:bCs/>
          <w:sz w:val="28"/>
          <w:szCs w:val="28"/>
          <w:lang w:val="uk-UA"/>
        </w:rPr>
        <w:t>дарства (</w:t>
      </w:r>
      <w:r w:rsidR="00F934A7" w:rsidRPr="00794F1D">
        <w:rPr>
          <w:bCs/>
          <w:sz w:val="28"/>
          <w:szCs w:val="28"/>
          <w:lang w:val="uk-UA"/>
        </w:rPr>
        <w:t>4</w:t>
      </w:r>
      <w:r w:rsidR="00F934A7">
        <w:rPr>
          <w:bCs/>
          <w:sz w:val="28"/>
          <w:szCs w:val="28"/>
          <w:lang w:val="uk-UA"/>
        </w:rPr>
        <w:t>6</w:t>
      </w:r>
      <w:r w:rsidR="00F934A7" w:rsidRPr="00794F1D">
        <w:rPr>
          <w:bCs/>
          <w:sz w:val="28"/>
          <w:szCs w:val="28"/>
          <w:lang w:val="uk-UA"/>
        </w:rPr>
        <w:t>3,</w:t>
      </w:r>
      <w:r w:rsidR="00F934A7">
        <w:rPr>
          <w:bCs/>
          <w:sz w:val="28"/>
          <w:szCs w:val="28"/>
          <w:lang w:val="uk-UA"/>
        </w:rPr>
        <w:t>3</w:t>
      </w:r>
      <w:r w:rsidR="00F934A7" w:rsidRPr="00794F1D">
        <w:rPr>
          <w:bCs/>
          <w:sz w:val="28"/>
          <w:szCs w:val="28"/>
          <w:lang w:val="uk-UA"/>
        </w:rPr>
        <w:t xml:space="preserve"> тис. га </w:t>
      </w:r>
      <w:r>
        <w:rPr>
          <w:bCs/>
          <w:sz w:val="28"/>
          <w:szCs w:val="28"/>
          <w:lang w:val="uk-UA"/>
        </w:rPr>
        <w:t xml:space="preserve">або </w:t>
      </w:r>
      <w:r w:rsidR="00F934A7" w:rsidRPr="00794F1D">
        <w:rPr>
          <w:bCs/>
          <w:sz w:val="28"/>
          <w:szCs w:val="28"/>
          <w:lang w:val="uk-UA"/>
        </w:rPr>
        <w:t>2</w:t>
      </w:r>
      <w:r w:rsidR="00F934A7">
        <w:rPr>
          <w:bCs/>
          <w:sz w:val="28"/>
          <w:szCs w:val="28"/>
          <w:lang w:val="uk-UA"/>
        </w:rPr>
        <w:t>1</w:t>
      </w:r>
      <w:r w:rsidR="00F934A7" w:rsidRPr="00794F1D">
        <w:rPr>
          <w:bCs/>
          <w:sz w:val="28"/>
          <w:szCs w:val="28"/>
          <w:lang w:val="uk-UA"/>
        </w:rPr>
        <w:t>,</w:t>
      </w:r>
      <w:r w:rsidR="00F934A7">
        <w:rPr>
          <w:bCs/>
          <w:sz w:val="28"/>
          <w:szCs w:val="28"/>
          <w:lang w:val="uk-UA"/>
        </w:rPr>
        <w:t>2</w:t>
      </w:r>
      <w:r w:rsidR="00F934A7" w:rsidRPr="00794F1D">
        <w:rPr>
          <w:bCs/>
          <w:sz w:val="28"/>
          <w:szCs w:val="28"/>
          <w:lang w:val="uk-UA"/>
        </w:rPr>
        <w:t xml:space="preserve"> % від</w:t>
      </w:r>
      <w:r>
        <w:rPr>
          <w:bCs/>
          <w:sz w:val="28"/>
          <w:szCs w:val="28"/>
          <w:lang w:val="uk-UA"/>
        </w:rPr>
        <w:t xml:space="preserve"> загальної площі угідь області). П</w:t>
      </w:r>
      <w:r w:rsidR="00F934A7" w:rsidRPr="00794F1D">
        <w:rPr>
          <w:bCs/>
          <w:sz w:val="28"/>
          <w:szCs w:val="28"/>
          <w:lang w:val="uk-UA"/>
        </w:rPr>
        <w:t>лоща мисливських угідь ДП «</w:t>
      </w:r>
      <w:proofErr w:type="spellStart"/>
      <w:r w:rsidR="00F934A7" w:rsidRPr="00794F1D">
        <w:rPr>
          <w:bCs/>
          <w:sz w:val="28"/>
          <w:szCs w:val="28"/>
          <w:lang w:val="uk-UA"/>
        </w:rPr>
        <w:t>Тригірське</w:t>
      </w:r>
      <w:proofErr w:type="spellEnd"/>
      <w:r w:rsidR="00F934A7" w:rsidRPr="00794F1D">
        <w:rPr>
          <w:bCs/>
          <w:sz w:val="28"/>
          <w:szCs w:val="28"/>
          <w:lang w:val="uk-UA"/>
        </w:rPr>
        <w:t xml:space="preserve"> ВМГ»ТВМР ЗСУ с</w:t>
      </w:r>
      <w:r>
        <w:rPr>
          <w:bCs/>
          <w:sz w:val="28"/>
          <w:szCs w:val="28"/>
          <w:lang w:val="uk-UA"/>
        </w:rPr>
        <w:t>тановить</w:t>
      </w:r>
      <w:r w:rsidR="00F934A7" w:rsidRPr="00794F1D">
        <w:rPr>
          <w:bCs/>
          <w:sz w:val="28"/>
          <w:szCs w:val="28"/>
          <w:lang w:val="uk-UA"/>
        </w:rPr>
        <w:t xml:space="preserve"> 17 тис. га</w:t>
      </w:r>
      <w:r>
        <w:rPr>
          <w:bCs/>
          <w:sz w:val="28"/>
          <w:szCs w:val="28"/>
          <w:lang w:val="uk-UA"/>
        </w:rPr>
        <w:t xml:space="preserve"> </w:t>
      </w:r>
      <w:r w:rsidR="00F934A7" w:rsidRPr="00794F1D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 xml:space="preserve">або </w:t>
      </w:r>
      <w:r w:rsidR="00F934A7" w:rsidRPr="00794F1D">
        <w:rPr>
          <w:bCs/>
          <w:sz w:val="28"/>
          <w:szCs w:val="28"/>
          <w:lang w:val="uk-UA"/>
        </w:rPr>
        <w:t xml:space="preserve">0,8%), іншим користувачам надано </w:t>
      </w:r>
      <w:r w:rsidR="00F934A7">
        <w:rPr>
          <w:bCs/>
          <w:sz w:val="28"/>
          <w:szCs w:val="28"/>
          <w:lang w:val="uk-UA"/>
        </w:rPr>
        <w:t>62</w:t>
      </w:r>
      <w:r w:rsidR="001E1F29">
        <w:rPr>
          <w:bCs/>
          <w:sz w:val="28"/>
          <w:szCs w:val="28"/>
          <w:lang w:val="uk-UA"/>
        </w:rPr>
        <w:t>3,3</w:t>
      </w:r>
      <w:r w:rsidR="00F934A7" w:rsidRPr="00794F1D">
        <w:rPr>
          <w:bCs/>
          <w:sz w:val="28"/>
          <w:szCs w:val="28"/>
          <w:lang w:val="uk-UA"/>
        </w:rPr>
        <w:t xml:space="preserve"> </w:t>
      </w:r>
      <w:proofErr w:type="spellStart"/>
      <w:r w:rsidR="00F934A7" w:rsidRPr="00794F1D">
        <w:rPr>
          <w:bCs/>
          <w:sz w:val="28"/>
          <w:szCs w:val="28"/>
          <w:lang w:val="uk-UA"/>
        </w:rPr>
        <w:t>тис.</w:t>
      </w:r>
      <w:r>
        <w:rPr>
          <w:bCs/>
          <w:sz w:val="28"/>
          <w:szCs w:val="28"/>
          <w:lang w:val="uk-UA"/>
        </w:rPr>
        <w:t>га</w:t>
      </w:r>
      <w:proofErr w:type="spellEnd"/>
      <w:r>
        <w:rPr>
          <w:bCs/>
          <w:sz w:val="28"/>
          <w:szCs w:val="28"/>
          <w:lang w:val="uk-UA"/>
        </w:rPr>
        <w:t xml:space="preserve"> (або </w:t>
      </w:r>
      <w:r w:rsidR="00F934A7" w:rsidRPr="00794F1D">
        <w:rPr>
          <w:bCs/>
          <w:sz w:val="28"/>
          <w:szCs w:val="28"/>
          <w:lang w:val="uk-UA"/>
        </w:rPr>
        <w:t>га</w:t>
      </w:r>
      <w:r w:rsidR="00F934A7">
        <w:rPr>
          <w:bCs/>
          <w:sz w:val="28"/>
          <w:szCs w:val="28"/>
          <w:lang w:val="uk-UA"/>
        </w:rPr>
        <w:t xml:space="preserve"> </w:t>
      </w:r>
      <w:r w:rsidR="00F934A7" w:rsidRPr="00794F1D">
        <w:rPr>
          <w:bCs/>
          <w:sz w:val="28"/>
          <w:szCs w:val="28"/>
          <w:lang w:val="uk-UA"/>
        </w:rPr>
        <w:t>(28,</w:t>
      </w:r>
      <w:r w:rsidR="003912DA">
        <w:rPr>
          <w:bCs/>
          <w:sz w:val="28"/>
          <w:szCs w:val="28"/>
          <w:lang w:val="uk-UA"/>
        </w:rPr>
        <w:t>5</w:t>
      </w:r>
      <w:r w:rsidR="00F934A7" w:rsidRPr="00794F1D">
        <w:rPr>
          <w:bCs/>
          <w:sz w:val="28"/>
          <w:szCs w:val="28"/>
          <w:lang w:val="uk-UA"/>
        </w:rPr>
        <w:t>%).</w:t>
      </w:r>
    </w:p>
    <w:p w:rsidR="00B56FC2" w:rsidRDefault="00B56FC2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C5582C" w:rsidRDefault="00C5582C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181A774" wp14:editId="2601EEED">
            <wp:extent cx="4486275" cy="2771775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5582C" w:rsidRDefault="00C5582C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C5582C" w:rsidRDefault="00C5582C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5F780B" w:rsidRDefault="00DF6B1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2014 році н</w:t>
      </w:r>
      <w:r w:rsidR="00C305F5">
        <w:rPr>
          <w:bCs/>
          <w:sz w:val="28"/>
          <w:szCs w:val="28"/>
          <w:lang w:val="uk-UA"/>
        </w:rPr>
        <w:t xml:space="preserve">а ведення мисливського господарства в області витрачено 18 млн. 793,8 тис. грн., </w:t>
      </w:r>
      <w:r>
        <w:rPr>
          <w:bCs/>
          <w:sz w:val="28"/>
          <w:szCs w:val="28"/>
          <w:lang w:val="uk-UA"/>
        </w:rPr>
        <w:t>у</w:t>
      </w:r>
      <w:r w:rsidR="007028D8">
        <w:rPr>
          <w:bCs/>
          <w:sz w:val="28"/>
          <w:szCs w:val="28"/>
          <w:lang w:val="uk-UA"/>
        </w:rPr>
        <w:t xml:space="preserve"> тому числі державними лісогосподарськими підприємствами – 5 млн. 98,5 тис. грн., УТМР </w:t>
      </w:r>
      <w:r w:rsidR="00D01754">
        <w:rPr>
          <w:bCs/>
          <w:sz w:val="28"/>
          <w:szCs w:val="28"/>
          <w:lang w:val="uk-UA"/>
        </w:rPr>
        <w:t>–</w:t>
      </w:r>
      <w:r w:rsidR="007028D8">
        <w:rPr>
          <w:bCs/>
          <w:sz w:val="28"/>
          <w:szCs w:val="28"/>
          <w:lang w:val="uk-UA"/>
        </w:rPr>
        <w:t xml:space="preserve"> </w:t>
      </w:r>
      <w:r w:rsidR="00D01754">
        <w:rPr>
          <w:bCs/>
          <w:sz w:val="28"/>
          <w:szCs w:val="28"/>
          <w:lang w:val="uk-UA"/>
        </w:rPr>
        <w:t xml:space="preserve">4 млн. 933,9 тис. грн., </w:t>
      </w:r>
      <w:r w:rsidR="001F760E" w:rsidRPr="00794F1D">
        <w:rPr>
          <w:bCs/>
          <w:sz w:val="28"/>
          <w:szCs w:val="28"/>
          <w:lang w:val="uk-UA"/>
        </w:rPr>
        <w:t>ДП «Тригірське ВМГ»ТВМР ЗСУ</w:t>
      </w:r>
      <w:r w:rsidR="00D01754">
        <w:rPr>
          <w:bCs/>
          <w:sz w:val="28"/>
          <w:szCs w:val="28"/>
          <w:lang w:val="uk-UA"/>
        </w:rPr>
        <w:t xml:space="preserve"> – 268,5 тис. грн., іншими користувачами – 8 млн. 492,9 тис. грн. </w:t>
      </w:r>
      <w:r>
        <w:rPr>
          <w:bCs/>
          <w:sz w:val="28"/>
          <w:szCs w:val="28"/>
          <w:lang w:val="uk-UA"/>
        </w:rPr>
        <w:t xml:space="preserve">Видатки на </w:t>
      </w:r>
      <w:r w:rsidR="00C305F5">
        <w:rPr>
          <w:bCs/>
          <w:sz w:val="28"/>
          <w:szCs w:val="28"/>
          <w:lang w:val="uk-UA"/>
        </w:rPr>
        <w:t xml:space="preserve">охорону та відтворення </w:t>
      </w:r>
      <w:r>
        <w:rPr>
          <w:bCs/>
          <w:sz w:val="28"/>
          <w:szCs w:val="28"/>
          <w:lang w:val="uk-UA"/>
        </w:rPr>
        <w:t>у загальному обсязі видатків становить</w:t>
      </w:r>
      <w:r w:rsidR="00C305F5">
        <w:rPr>
          <w:bCs/>
          <w:sz w:val="28"/>
          <w:szCs w:val="28"/>
          <w:lang w:val="uk-UA"/>
        </w:rPr>
        <w:t xml:space="preserve"> 8 млн. 602,1 тис. грн.</w:t>
      </w:r>
      <w:r w:rsidR="001E1F29">
        <w:rPr>
          <w:bCs/>
          <w:sz w:val="28"/>
          <w:szCs w:val="28"/>
          <w:lang w:val="uk-UA"/>
        </w:rPr>
        <w:t xml:space="preserve">, що в перерахунку </w:t>
      </w:r>
      <w:r w:rsidR="005F780B">
        <w:rPr>
          <w:bCs/>
          <w:sz w:val="28"/>
          <w:szCs w:val="28"/>
          <w:lang w:val="uk-UA"/>
        </w:rPr>
        <w:t xml:space="preserve">на 1 тис. га </w:t>
      </w:r>
      <w:r>
        <w:rPr>
          <w:bCs/>
          <w:sz w:val="28"/>
          <w:szCs w:val="28"/>
          <w:lang w:val="uk-UA"/>
        </w:rPr>
        <w:t>становить</w:t>
      </w:r>
      <w:r w:rsidR="001E1F29">
        <w:rPr>
          <w:bCs/>
          <w:sz w:val="28"/>
          <w:szCs w:val="28"/>
          <w:lang w:val="uk-UA"/>
        </w:rPr>
        <w:t xml:space="preserve"> 3,9 тис. грн.</w:t>
      </w:r>
    </w:p>
    <w:p w:rsidR="006F6C62" w:rsidRDefault="00DF6B1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</w:t>
      </w:r>
      <w:r w:rsidR="006F6C62">
        <w:rPr>
          <w:bCs/>
          <w:sz w:val="28"/>
          <w:szCs w:val="28"/>
          <w:lang w:val="uk-UA"/>
        </w:rPr>
        <w:t xml:space="preserve">дходження від мисливсько-господарської діяльності </w:t>
      </w:r>
      <w:r>
        <w:rPr>
          <w:bCs/>
          <w:sz w:val="28"/>
          <w:szCs w:val="28"/>
          <w:lang w:val="uk-UA"/>
        </w:rPr>
        <w:t>за цей період становлять</w:t>
      </w:r>
      <w:r w:rsidR="006F6C62">
        <w:rPr>
          <w:bCs/>
          <w:sz w:val="28"/>
          <w:szCs w:val="28"/>
          <w:lang w:val="uk-UA"/>
        </w:rPr>
        <w:t xml:space="preserve"> 6 млн. 195,7 тис. грн.</w:t>
      </w:r>
      <w:r w:rsidR="0043593E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що складає лише третину від обсягу </w:t>
      </w:r>
      <w:r w:rsidR="0043593E">
        <w:rPr>
          <w:bCs/>
          <w:sz w:val="28"/>
          <w:szCs w:val="28"/>
          <w:lang w:val="uk-UA"/>
        </w:rPr>
        <w:t>витра</w:t>
      </w:r>
      <w:r w:rsidR="000D6D45">
        <w:rPr>
          <w:bCs/>
          <w:sz w:val="28"/>
          <w:szCs w:val="28"/>
          <w:lang w:val="uk-UA"/>
        </w:rPr>
        <w:t>т</w:t>
      </w:r>
      <w:r>
        <w:rPr>
          <w:bCs/>
          <w:sz w:val="28"/>
          <w:szCs w:val="28"/>
          <w:lang w:val="uk-UA"/>
        </w:rPr>
        <w:t>. З</w:t>
      </w:r>
      <w:r w:rsidR="000D6D45">
        <w:rPr>
          <w:bCs/>
          <w:sz w:val="28"/>
          <w:szCs w:val="28"/>
          <w:lang w:val="uk-UA"/>
        </w:rPr>
        <w:t>окрема, надходження в державних підприємствах склали 537,4 тис. грн. (10,5% до витрат), в УТМР - 3 млн. 772,3 тис. грн. (76,5%), в ДП «Тригірське ВМГ» - 279,4 тис. грн. (104,1%), в інших господарствах – 1 млн. 606,6 тис. грн. (104,1%).</w:t>
      </w:r>
    </w:p>
    <w:p w:rsidR="00F934A7" w:rsidRDefault="00DF6B1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Загалом в</w:t>
      </w:r>
      <w:r w:rsidR="00F934A7">
        <w:rPr>
          <w:bCs/>
          <w:sz w:val="28"/>
          <w:szCs w:val="28"/>
          <w:lang w:val="uk-UA"/>
        </w:rPr>
        <w:t xml:space="preserve"> мисливському господарстві області </w:t>
      </w:r>
      <w:r>
        <w:rPr>
          <w:bCs/>
          <w:sz w:val="28"/>
          <w:szCs w:val="28"/>
          <w:lang w:val="uk-UA"/>
        </w:rPr>
        <w:t xml:space="preserve">сьогодні трудиться </w:t>
      </w:r>
      <w:r w:rsidR="002A6218">
        <w:rPr>
          <w:bCs/>
          <w:sz w:val="28"/>
          <w:szCs w:val="28"/>
          <w:lang w:val="uk-UA"/>
        </w:rPr>
        <w:t>468</w:t>
      </w:r>
      <w:r w:rsidR="00F934A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осіб. У тому числі</w:t>
      </w:r>
      <w:r w:rsidR="00F934A7">
        <w:rPr>
          <w:bCs/>
          <w:sz w:val="28"/>
          <w:szCs w:val="28"/>
          <w:lang w:val="uk-UA"/>
        </w:rPr>
        <w:t xml:space="preserve">: </w:t>
      </w:r>
      <w:r w:rsidR="002A6218">
        <w:rPr>
          <w:bCs/>
          <w:sz w:val="28"/>
          <w:szCs w:val="28"/>
          <w:lang w:val="uk-UA"/>
        </w:rPr>
        <w:t>52</w:t>
      </w:r>
      <w:r w:rsidR="00F934A7">
        <w:rPr>
          <w:bCs/>
          <w:sz w:val="28"/>
          <w:szCs w:val="28"/>
          <w:lang w:val="uk-UA"/>
        </w:rPr>
        <w:t xml:space="preserve"> мисливствознавці та </w:t>
      </w:r>
      <w:r w:rsidR="002A6218">
        <w:rPr>
          <w:bCs/>
          <w:sz w:val="28"/>
          <w:szCs w:val="28"/>
          <w:lang w:val="uk-UA"/>
        </w:rPr>
        <w:t>351</w:t>
      </w:r>
      <w:r w:rsidR="00F934A7">
        <w:rPr>
          <w:bCs/>
          <w:sz w:val="28"/>
          <w:szCs w:val="28"/>
          <w:lang w:val="uk-UA"/>
        </w:rPr>
        <w:t xml:space="preserve"> єгер</w:t>
      </w:r>
      <w:r>
        <w:rPr>
          <w:bCs/>
          <w:sz w:val="28"/>
          <w:szCs w:val="28"/>
          <w:lang w:val="uk-UA"/>
        </w:rPr>
        <w:t>. З них у</w:t>
      </w:r>
      <w:r w:rsidR="00F934A7">
        <w:rPr>
          <w:bCs/>
          <w:sz w:val="28"/>
          <w:szCs w:val="28"/>
          <w:lang w:val="uk-UA"/>
        </w:rPr>
        <w:t xml:space="preserve"> державних підприємствах, підпорядкованих управлінню</w:t>
      </w:r>
      <w:r>
        <w:rPr>
          <w:bCs/>
          <w:sz w:val="28"/>
          <w:szCs w:val="28"/>
          <w:lang w:val="uk-UA"/>
        </w:rPr>
        <w:t>, працює</w:t>
      </w:r>
      <w:r w:rsidR="00F934A7">
        <w:rPr>
          <w:bCs/>
          <w:sz w:val="28"/>
          <w:szCs w:val="28"/>
          <w:lang w:val="uk-UA"/>
        </w:rPr>
        <w:t xml:space="preserve"> </w:t>
      </w:r>
      <w:r w:rsidR="002A6218">
        <w:rPr>
          <w:bCs/>
          <w:sz w:val="28"/>
          <w:szCs w:val="28"/>
          <w:lang w:val="uk-UA"/>
        </w:rPr>
        <w:t>23</w:t>
      </w:r>
      <w:r w:rsidR="00F934A7">
        <w:rPr>
          <w:bCs/>
          <w:sz w:val="28"/>
          <w:szCs w:val="28"/>
          <w:lang w:val="uk-UA"/>
        </w:rPr>
        <w:t xml:space="preserve"> мисливствознавці та 6</w:t>
      </w:r>
      <w:r w:rsidR="002A6218">
        <w:rPr>
          <w:bCs/>
          <w:sz w:val="28"/>
          <w:szCs w:val="28"/>
          <w:lang w:val="uk-UA"/>
        </w:rPr>
        <w:t>1 єгер</w:t>
      </w:r>
      <w:r w:rsidR="00F934A7">
        <w:rPr>
          <w:bCs/>
          <w:sz w:val="28"/>
          <w:szCs w:val="28"/>
          <w:lang w:val="uk-UA"/>
        </w:rPr>
        <w:t xml:space="preserve">, в УТМР Житомирської області </w:t>
      </w:r>
      <w:r w:rsidR="002A6218">
        <w:rPr>
          <w:bCs/>
          <w:sz w:val="28"/>
          <w:szCs w:val="28"/>
          <w:lang w:val="uk-UA"/>
        </w:rPr>
        <w:t>8</w:t>
      </w:r>
      <w:r w:rsidR="00F934A7">
        <w:rPr>
          <w:bCs/>
          <w:sz w:val="28"/>
          <w:szCs w:val="28"/>
          <w:lang w:val="uk-UA"/>
        </w:rPr>
        <w:t xml:space="preserve"> мисливствознавців та 1</w:t>
      </w:r>
      <w:r w:rsidR="002A6218">
        <w:rPr>
          <w:bCs/>
          <w:sz w:val="28"/>
          <w:szCs w:val="28"/>
          <w:lang w:val="uk-UA"/>
        </w:rPr>
        <w:t>33</w:t>
      </w:r>
      <w:r w:rsidR="00F934A7">
        <w:rPr>
          <w:bCs/>
          <w:sz w:val="28"/>
          <w:szCs w:val="28"/>
          <w:lang w:val="uk-UA"/>
        </w:rPr>
        <w:t xml:space="preserve"> єгер</w:t>
      </w:r>
      <w:r w:rsidR="001F760E">
        <w:rPr>
          <w:bCs/>
          <w:sz w:val="28"/>
          <w:szCs w:val="28"/>
          <w:lang w:val="uk-UA"/>
        </w:rPr>
        <w:t>я</w:t>
      </w:r>
      <w:r w:rsidR="00F934A7">
        <w:rPr>
          <w:bCs/>
          <w:sz w:val="28"/>
          <w:szCs w:val="28"/>
          <w:lang w:val="uk-UA"/>
        </w:rPr>
        <w:t xml:space="preserve">, у </w:t>
      </w:r>
      <w:r w:rsidR="00F934A7" w:rsidRPr="00794F1D">
        <w:rPr>
          <w:bCs/>
          <w:sz w:val="28"/>
          <w:szCs w:val="28"/>
          <w:lang w:val="uk-UA"/>
        </w:rPr>
        <w:t>ДП «Тригірське ВМГ»ТВМР ЗСУ</w:t>
      </w:r>
      <w:r w:rsidR="00F934A7">
        <w:rPr>
          <w:bCs/>
          <w:sz w:val="28"/>
          <w:szCs w:val="28"/>
          <w:lang w:val="uk-UA"/>
        </w:rPr>
        <w:t xml:space="preserve"> – 1 мисливствознавець та 8 єгерів, в інших користувачів – </w:t>
      </w:r>
      <w:r w:rsidR="002A6218">
        <w:rPr>
          <w:bCs/>
          <w:sz w:val="28"/>
          <w:szCs w:val="28"/>
          <w:lang w:val="uk-UA"/>
        </w:rPr>
        <w:t>20</w:t>
      </w:r>
      <w:r w:rsidR="00F934A7">
        <w:rPr>
          <w:bCs/>
          <w:sz w:val="28"/>
          <w:szCs w:val="28"/>
          <w:lang w:val="uk-UA"/>
        </w:rPr>
        <w:t xml:space="preserve"> мисливствознав</w:t>
      </w:r>
      <w:r w:rsidR="002A6218">
        <w:rPr>
          <w:bCs/>
          <w:sz w:val="28"/>
          <w:szCs w:val="28"/>
          <w:lang w:val="uk-UA"/>
        </w:rPr>
        <w:t>ців та 149</w:t>
      </w:r>
      <w:r w:rsidR="00F934A7">
        <w:rPr>
          <w:bCs/>
          <w:sz w:val="28"/>
          <w:szCs w:val="28"/>
          <w:lang w:val="uk-UA"/>
        </w:rPr>
        <w:t xml:space="preserve"> єгерів.</w:t>
      </w:r>
    </w:p>
    <w:p w:rsidR="00DF6B17" w:rsidRDefault="00F934A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середньому </w:t>
      </w:r>
      <w:r w:rsidR="00DF6B17">
        <w:rPr>
          <w:bCs/>
          <w:sz w:val="28"/>
          <w:szCs w:val="28"/>
          <w:lang w:val="uk-UA"/>
        </w:rPr>
        <w:t>по області</w:t>
      </w:r>
      <w:r>
        <w:rPr>
          <w:bCs/>
          <w:sz w:val="28"/>
          <w:szCs w:val="28"/>
          <w:lang w:val="uk-UA"/>
        </w:rPr>
        <w:t xml:space="preserve"> </w:t>
      </w:r>
      <w:r w:rsidR="00DF6B17">
        <w:rPr>
          <w:bCs/>
          <w:sz w:val="28"/>
          <w:szCs w:val="28"/>
          <w:lang w:val="uk-UA"/>
        </w:rPr>
        <w:t xml:space="preserve">один єгер обслуговує 6,2 тис. га мисливських угідь. </w:t>
      </w:r>
    </w:p>
    <w:p w:rsidR="00F934A7" w:rsidRDefault="00DF6B1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тому числі</w:t>
      </w:r>
      <w:r w:rsidR="00F934A7">
        <w:rPr>
          <w:bCs/>
          <w:sz w:val="28"/>
          <w:szCs w:val="28"/>
          <w:lang w:val="uk-UA"/>
        </w:rPr>
        <w:t>:</w:t>
      </w:r>
    </w:p>
    <w:p w:rsidR="00DF6B17" w:rsidRDefault="00F934A7" w:rsidP="00C5582C">
      <w:pPr>
        <w:pStyle w:val="a5"/>
        <w:numPr>
          <w:ilvl w:val="0"/>
          <w:numId w:val="3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DF6B17">
        <w:rPr>
          <w:bCs/>
          <w:sz w:val="28"/>
          <w:szCs w:val="28"/>
          <w:lang w:val="uk-UA"/>
        </w:rPr>
        <w:t>в державних підприємствах управління – 7,6 тис.</w:t>
      </w:r>
      <w:r w:rsidR="00DF6B17">
        <w:rPr>
          <w:bCs/>
          <w:sz w:val="28"/>
          <w:szCs w:val="28"/>
          <w:lang w:val="uk-UA"/>
        </w:rPr>
        <w:t xml:space="preserve"> га</w:t>
      </w:r>
      <w:r w:rsidRPr="00DF6B17">
        <w:rPr>
          <w:bCs/>
          <w:sz w:val="28"/>
          <w:szCs w:val="28"/>
          <w:lang w:val="uk-UA"/>
        </w:rPr>
        <w:t xml:space="preserve"> </w:t>
      </w:r>
    </w:p>
    <w:p w:rsidR="00F934A7" w:rsidRPr="00DF6B17" w:rsidRDefault="00F934A7" w:rsidP="00C5582C">
      <w:pPr>
        <w:pStyle w:val="a5"/>
        <w:numPr>
          <w:ilvl w:val="0"/>
          <w:numId w:val="3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DF6B17">
        <w:rPr>
          <w:bCs/>
          <w:sz w:val="28"/>
          <w:szCs w:val="28"/>
          <w:lang w:val="uk-UA"/>
        </w:rPr>
        <w:t xml:space="preserve">в УТМР Житомирської області – </w:t>
      </w:r>
      <w:r w:rsidR="002A6218" w:rsidRPr="00DF6B17">
        <w:rPr>
          <w:bCs/>
          <w:sz w:val="28"/>
          <w:szCs w:val="28"/>
          <w:lang w:val="uk-UA"/>
        </w:rPr>
        <w:t>8,1</w:t>
      </w:r>
      <w:r w:rsidRPr="00DF6B17">
        <w:rPr>
          <w:bCs/>
          <w:sz w:val="28"/>
          <w:szCs w:val="28"/>
          <w:lang w:val="uk-UA"/>
        </w:rPr>
        <w:t xml:space="preserve"> тис. га;</w:t>
      </w:r>
    </w:p>
    <w:p w:rsidR="00F934A7" w:rsidRDefault="00F934A7" w:rsidP="00C5582C">
      <w:pPr>
        <w:pStyle w:val="a5"/>
        <w:numPr>
          <w:ilvl w:val="0"/>
          <w:numId w:val="3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A63DE7">
        <w:rPr>
          <w:bCs/>
          <w:sz w:val="28"/>
          <w:szCs w:val="28"/>
          <w:lang w:val="uk-UA"/>
        </w:rPr>
        <w:t>в ДП «Тригірське ВМГ»</w:t>
      </w:r>
      <w:r>
        <w:rPr>
          <w:bCs/>
          <w:sz w:val="28"/>
          <w:szCs w:val="28"/>
          <w:lang w:val="uk-UA"/>
        </w:rPr>
        <w:t xml:space="preserve"> - 2,1 тис. га;</w:t>
      </w:r>
    </w:p>
    <w:p w:rsidR="00F934A7" w:rsidRPr="00A63DE7" w:rsidRDefault="00F934A7" w:rsidP="00C5582C">
      <w:pPr>
        <w:pStyle w:val="a5"/>
        <w:numPr>
          <w:ilvl w:val="0"/>
          <w:numId w:val="3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інших</w:t>
      </w:r>
      <w:r w:rsidRPr="00A63DE7">
        <w:rPr>
          <w:bCs/>
          <w:sz w:val="28"/>
          <w:szCs w:val="28"/>
          <w:lang w:val="uk-UA"/>
        </w:rPr>
        <w:t xml:space="preserve"> користувачі</w:t>
      </w:r>
      <w:r>
        <w:rPr>
          <w:bCs/>
          <w:sz w:val="28"/>
          <w:szCs w:val="28"/>
          <w:lang w:val="uk-UA"/>
        </w:rPr>
        <w:t xml:space="preserve">в </w:t>
      </w:r>
      <w:r w:rsidR="002A6218">
        <w:rPr>
          <w:bCs/>
          <w:sz w:val="28"/>
          <w:szCs w:val="28"/>
          <w:lang w:val="uk-UA"/>
        </w:rPr>
        <w:t>–</w:t>
      </w:r>
      <w:r>
        <w:rPr>
          <w:bCs/>
          <w:sz w:val="28"/>
          <w:szCs w:val="28"/>
          <w:lang w:val="uk-UA"/>
        </w:rPr>
        <w:t xml:space="preserve"> </w:t>
      </w:r>
      <w:r w:rsidR="002A6218">
        <w:rPr>
          <w:bCs/>
          <w:sz w:val="28"/>
          <w:szCs w:val="28"/>
          <w:lang w:val="uk-UA"/>
        </w:rPr>
        <w:t>4,2</w:t>
      </w:r>
      <w:r>
        <w:rPr>
          <w:bCs/>
          <w:sz w:val="28"/>
          <w:szCs w:val="28"/>
          <w:lang w:val="uk-UA"/>
        </w:rPr>
        <w:t xml:space="preserve"> тис. га.</w:t>
      </w:r>
    </w:p>
    <w:p w:rsidR="00DF6B17" w:rsidRDefault="00DF6B1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</w:p>
    <w:p w:rsidR="00F934A7" w:rsidRPr="00794F1D" w:rsidRDefault="00F934A7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За результатами обліку</w:t>
      </w:r>
      <w:r w:rsidR="00561769">
        <w:rPr>
          <w:bCs/>
          <w:sz w:val="28"/>
          <w:szCs w:val="28"/>
          <w:lang w:val="uk-UA"/>
        </w:rPr>
        <w:t>, який проведено нещодавно,</w:t>
      </w:r>
      <w:r w:rsidRPr="00794F1D">
        <w:rPr>
          <w:bCs/>
          <w:sz w:val="28"/>
          <w:szCs w:val="28"/>
          <w:lang w:val="uk-UA"/>
        </w:rPr>
        <w:t xml:space="preserve"> в мисливських угіддях області нараховується </w:t>
      </w:r>
      <w:r w:rsidR="00561769">
        <w:rPr>
          <w:bCs/>
          <w:sz w:val="28"/>
          <w:szCs w:val="28"/>
          <w:lang w:val="uk-UA"/>
        </w:rPr>
        <w:t>майже</w:t>
      </w:r>
      <w:r w:rsidRPr="00794F1D">
        <w:rPr>
          <w:bCs/>
          <w:sz w:val="28"/>
          <w:szCs w:val="28"/>
          <w:lang w:val="uk-UA"/>
        </w:rPr>
        <w:t xml:space="preserve"> </w:t>
      </w:r>
      <w:r w:rsidR="00564777">
        <w:rPr>
          <w:bCs/>
          <w:sz w:val="28"/>
          <w:szCs w:val="28"/>
          <w:lang w:val="uk-UA"/>
        </w:rPr>
        <w:t>26,1</w:t>
      </w:r>
      <w:r w:rsidRPr="00794F1D">
        <w:rPr>
          <w:bCs/>
          <w:sz w:val="28"/>
          <w:szCs w:val="28"/>
          <w:lang w:val="uk-UA"/>
        </w:rPr>
        <w:t xml:space="preserve"> тис. голів диких копитних та </w:t>
      </w:r>
      <w:r w:rsidR="00564777">
        <w:rPr>
          <w:bCs/>
          <w:sz w:val="28"/>
          <w:szCs w:val="28"/>
          <w:lang w:val="uk-UA"/>
        </w:rPr>
        <w:t>51,6</w:t>
      </w:r>
      <w:r w:rsidRPr="00794F1D">
        <w:rPr>
          <w:bCs/>
          <w:sz w:val="28"/>
          <w:szCs w:val="28"/>
          <w:lang w:val="uk-UA"/>
        </w:rPr>
        <w:t xml:space="preserve"> тис. основних мисливських видів хутрових тварин</w:t>
      </w:r>
      <w:r w:rsidR="00561769">
        <w:rPr>
          <w:bCs/>
          <w:sz w:val="28"/>
          <w:szCs w:val="28"/>
          <w:lang w:val="uk-UA"/>
        </w:rPr>
        <w:t>. Зокрема:</w:t>
      </w:r>
      <w:r w:rsidRPr="00794F1D">
        <w:rPr>
          <w:bCs/>
          <w:sz w:val="28"/>
          <w:szCs w:val="28"/>
          <w:lang w:val="uk-UA"/>
        </w:rPr>
        <w:t>: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лося – 2,</w:t>
      </w:r>
      <w:r w:rsidR="00564777">
        <w:rPr>
          <w:bCs/>
          <w:sz w:val="28"/>
          <w:szCs w:val="28"/>
          <w:lang w:val="uk-UA"/>
        </w:rPr>
        <w:t>1</w:t>
      </w:r>
      <w:r w:rsidRPr="00794F1D">
        <w:rPr>
          <w:bCs/>
          <w:sz w:val="28"/>
          <w:szCs w:val="28"/>
          <w:lang w:val="uk-UA"/>
        </w:rPr>
        <w:t xml:space="preserve"> тис.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оле</w:t>
      </w:r>
      <w:r w:rsidR="00564777">
        <w:rPr>
          <w:bCs/>
          <w:sz w:val="28"/>
          <w:szCs w:val="28"/>
          <w:lang w:val="uk-UA"/>
        </w:rPr>
        <w:t>ня європейського – 1</w:t>
      </w:r>
      <w:r w:rsidRPr="00794F1D">
        <w:rPr>
          <w:bCs/>
          <w:sz w:val="28"/>
          <w:szCs w:val="28"/>
          <w:lang w:val="uk-UA"/>
        </w:rPr>
        <w:t>тис.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 xml:space="preserve">оленя плямистого – </w:t>
      </w:r>
      <w:r w:rsidR="00564777">
        <w:rPr>
          <w:bCs/>
          <w:sz w:val="28"/>
          <w:szCs w:val="28"/>
          <w:lang w:val="uk-UA"/>
        </w:rPr>
        <w:t>261</w:t>
      </w:r>
      <w:r w:rsidRPr="00794F1D">
        <w:rPr>
          <w:bCs/>
          <w:sz w:val="28"/>
          <w:szCs w:val="28"/>
          <w:lang w:val="uk-UA"/>
        </w:rPr>
        <w:t xml:space="preserve"> гол</w:t>
      </w:r>
      <w:r w:rsidR="00561769">
        <w:rPr>
          <w:bCs/>
          <w:sz w:val="28"/>
          <w:szCs w:val="28"/>
          <w:lang w:val="uk-UA"/>
        </w:rPr>
        <w:t>ова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lastRenderedPageBreak/>
        <w:t xml:space="preserve">козулі – </w:t>
      </w:r>
      <w:r w:rsidR="00564777">
        <w:rPr>
          <w:bCs/>
          <w:sz w:val="28"/>
          <w:szCs w:val="28"/>
          <w:lang w:val="uk-UA"/>
        </w:rPr>
        <w:t>15,8</w:t>
      </w:r>
      <w:r w:rsidRPr="00794F1D">
        <w:rPr>
          <w:bCs/>
          <w:sz w:val="28"/>
          <w:szCs w:val="28"/>
          <w:lang w:val="uk-UA"/>
        </w:rPr>
        <w:t xml:space="preserve"> тис.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кабана – 7тис.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зайця-русака – 4</w:t>
      </w:r>
      <w:r w:rsidR="00564777">
        <w:rPr>
          <w:bCs/>
          <w:sz w:val="28"/>
          <w:szCs w:val="28"/>
          <w:lang w:val="uk-UA"/>
        </w:rPr>
        <w:t xml:space="preserve">1,7 </w:t>
      </w:r>
      <w:r w:rsidR="00561769">
        <w:rPr>
          <w:bCs/>
          <w:sz w:val="28"/>
          <w:szCs w:val="28"/>
          <w:lang w:val="uk-UA"/>
        </w:rPr>
        <w:t>тис. голів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 xml:space="preserve">лисиці – </w:t>
      </w:r>
      <w:r>
        <w:rPr>
          <w:bCs/>
          <w:sz w:val="28"/>
          <w:szCs w:val="28"/>
          <w:lang w:val="uk-UA"/>
        </w:rPr>
        <w:t>3,7</w:t>
      </w:r>
      <w:r w:rsidRPr="00794F1D">
        <w:rPr>
          <w:bCs/>
          <w:sz w:val="28"/>
          <w:szCs w:val="28"/>
          <w:lang w:val="uk-UA"/>
        </w:rPr>
        <w:t xml:space="preserve"> тис.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 xml:space="preserve">вовка – </w:t>
      </w:r>
      <w:r w:rsidR="00564777">
        <w:rPr>
          <w:bCs/>
          <w:sz w:val="28"/>
          <w:szCs w:val="28"/>
          <w:lang w:val="uk-UA"/>
        </w:rPr>
        <w:t>86</w:t>
      </w:r>
      <w:r w:rsidRPr="00794F1D">
        <w:rPr>
          <w:bCs/>
          <w:sz w:val="28"/>
          <w:szCs w:val="28"/>
          <w:lang w:val="uk-UA"/>
        </w:rPr>
        <w:t xml:space="preserve">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 xml:space="preserve">єнотоподібного собаки – </w:t>
      </w:r>
      <w:r w:rsidR="00564777">
        <w:rPr>
          <w:bCs/>
          <w:sz w:val="28"/>
          <w:szCs w:val="28"/>
          <w:lang w:val="uk-UA"/>
        </w:rPr>
        <w:t>622</w:t>
      </w:r>
      <w:r w:rsidRPr="00794F1D">
        <w:rPr>
          <w:bCs/>
          <w:sz w:val="28"/>
          <w:szCs w:val="28"/>
          <w:lang w:val="uk-UA"/>
        </w:rPr>
        <w:t xml:space="preserve"> гол</w:t>
      </w:r>
      <w:r w:rsidR="00561769">
        <w:rPr>
          <w:bCs/>
          <w:sz w:val="28"/>
          <w:szCs w:val="28"/>
          <w:lang w:val="uk-UA"/>
        </w:rPr>
        <w:t>ови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куниці лісової – 4,</w:t>
      </w:r>
      <w:r w:rsidR="00564777">
        <w:rPr>
          <w:bCs/>
          <w:sz w:val="28"/>
          <w:szCs w:val="28"/>
          <w:lang w:val="uk-UA"/>
        </w:rPr>
        <w:t>3</w:t>
      </w:r>
      <w:r w:rsidRPr="00794F1D">
        <w:rPr>
          <w:bCs/>
          <w:sz w:val="28"/>
          <w:szCs w:val="28"/>
          <w:lang w:val="uk-UA"/>
        </w:rPr>
        <w:t xml:space="preserve"> тис. гол</w:t>
      </w:r>
      <w:r w:rsidR="00561769">
        <w:rPr>
          <w:bCs/>
          <w:sz w:val="28"/>
          <w:szCs w:val="28"/>
          <w:lang w:val="uk-UA"/>
        </w:rPr>
        <w:t>ів</w:t>
      </w:r>
      <w:r w:rsidRPr="00794F1D">
        <w:rPr>
          <w:bCs/>
          <w:sz w:val="28"/>
          <w:szCs w:val="28"/>
          <w:lang w:val="uk-UA"/>
        </w:rPr>
        <w:t>;</w:t>
      </w:r>
    </w:p>
    <w:p w:rsidR="00F934A7" w:rsidRPr="00794F1D" w:rsidRDefault="00F934A7" w:rsidP="00C5582C">
      <w:pPr>
        <w:pStyle w:val="a5"/>
        <w:numPr>
          <w:ilvl w:val="0"/>
          <w:numId w:val="1"/>
        </w:numPr>
        <w:ind w:left="993" w:right="-143" w:hanging="284"/>
        <w:jc w:val="both"/>
        <w:rPr>
          <w:bCs/>
          <w:sz w:val="28"/>
          <w:szCs w:val="28"/>
          <w:lang w:val="uk-UA"/>
        </w:rPr>
      </w:pPr>
      <w:r w:rsidRPr="00794F1D">
        <w:rPr>
          <w:bCs/>
          <w:sz w:val="28"/>
          <w:szCs w:val="28"/>
          <w:lang w:val="uk-UA"/>
        </w:rPr>
        <w:t>борсука – 1,</w:t>
      </w:r>
      <w:r w:rsidR="00564777">
        <w:rPr>
          <w:bCs/>
          <w:sz w:val="28"/>
          <w:szCs w:val="28"/>
          <w:lang w:val="uk-UA"/>
        </w:rPr>
        <w:t>2</w:t>
      </w:r>
      <w:r w:rsidRPr="00794F1D">
        <w:rPr>
          <w:bCs/>
          <w:sz w:val="28"/>
          <w:szCs w:val="28"/>
          <w:lang w:val="uk-UA"/>
        </w:rPr>
        <w:t xml:space="preserve"> тис. гол.</w:t>
      </w:r>
    </w:p>
    <w:p w:rsidR="00F934A7" w:rsidRDefault="00561769" w:rsidP="00C5582C">
      <w:pPr>
        <w:ind w:right="-143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останні 4 роки</w:t>
      </w:r>
      <w:r w:rsidR="00564777">
        <w:rPr>
          <w:bCs/>
          <w:sz w:val="28"/>
          <w:szCs w:val="28"/>
          <w:lang w:val="uk-UA"/>
        </w:rPr>
        <w:t xml:space="preserve"> чисельність диких копитних тварин зросла на </w:t>
      </w:r>
      <w:r w:rsidR="00CA4A30">
        <w:rPr>
          <w:bCs/>
          <w:sz w:val="28"/>
          <w:szCs w:val="28"/>
          <w:lang w:val="uk-UA"/>
        </w:rPr>
        <w:t>2,1</w:t>
      </w:r>
      <w:r w:rsidR="00C305F5">
        <w:rPr>
          <w:bCs/>
          <w:sz w:val="28"/>
          <w:szCs w:val="28"/>
          <w:lang w:val="uk-UA"/>
        </w:rPr>
        <w:t>% та тримається в межах оптимальної чисельності</w:t>
      </w:r>
      <w:r w:rsidR="001E1F29">
        <w:rPr>
          <w:bCs/>
          <w:sz w:val="28"/>
          <w:szCs w:val="28"/>
          <w:lang w:val="uk-UA"/>
        </w:rPr>
        <w:t xml:space="preserve">. </w:t>
      </w:r>
      <w:r w:rsidR="00CA4A30">
        <w:rPr>
          <w:bCs/>
          <w:sz w:val="28"/>
          <w:szCs w:val="28"/>
          <w:lang w:val="uk-UA"/>
        </w:rPr>
        <w:t>Перевищення фактичної чисельності над оптимальною спостерігається лише по дикому  кабану</w:t>
      </w:r>
      <w:r w:rsidR="00604EE4">
        <w:rPr>
          <w:bCs/>
          <w:sz w:val="28"/>
          <w:szCs w:val="28"/>
          <w:lang w:val="uk-UA"/>
        </w:rPr>
        <w:t>,</w:t>
      </w:r>
      <w:r w:rsidR="00CA4A30" w:rsidRPr="00CA4A30">
        <w:rPr>
          <w:bCs/>
          <w:sz w:val="28"/>
          <w:szCs w:val="28"/>
          <w:lang w:val="uk-UA"/>
        </w:rPr>
        <w:t xml:space="preserve"> </w:t>
      </w:r>
      <w:r w:rsidR="00CA4A30">
        <w:rPr>
          <w:bCs/>
          <w:sz w:val="28"/>
          <w:szCs w:val="28"/>
          <w:lang w:val="uk-UA"/>
        </w:rPr>
        <w:t>а саме:</w:t>
      </w:r>
      <w:r w:rsidR="00604EE4">
        <w:rPr>
          <w:bCs/>
          <w:sz w:val="28"/>
          <w:szCs w:val="28"/>
          <w:lang w:val="uk-UA"/>
        </w:rPr>
        <w:t xml:space="preserve"> оптимальна чисельність становить близько 4</w:t>
      </w:r>
      <w:r>
        <w:rPr>
          <w:bCs/>
          <w:sz w:val="28"/>
          <w:szCs w:val="28"/>
          <w:lang w:val="uk-UA"/>
        </w:rPr>
        <w:t xml:space="preserve"> </w:t>
      </w:r>
      <w:r w:rsidR="00604EE4">
        <w:rPr>
          <w:bCs/>
          <w:sz w:val="28"/>
          <w:szCs w:val="28"/>
          <w:lang w:val="uk-UA"/>
        </w:rPr>
        <w:t xml:space="preserve">тис. голів, фактична </w:t>
      </w:r>
      <w:r w:rsidR="00B73220">
        <w:rPr>
          <w:bCs/>
          <w:sz w:val="28"/>
          <w:szCs w:val="28"/>
          <w:lang w:val="uk-UA"/>
        </w:rPr>
        <w:t xml:space="preserve">- </w:t>
      </w:r>
      <w:r w:rsidR="00604EE4">
        <w:rPr>
          <w:bCs/>
          <w:sz w:val="28"/>
          <w:szCs w:val="28"/>
          <w:lang w:val="uk-UA"/>
        </w:rPr>
        <w:t>близько 7 тис. гол.</w:t>
      </w:r>
      <w:r w:rsidR="00CA4A3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Водночас </w:t>
      </w:r>
      <w:r w:rsidR="001E1F29">
        <w:rPr>
          <w:bCs/>
          <w:sz w:val="28"/>
          <w:szCs w:val="28"/>
          <w:lang w:val="uk-UA"/>
        </w:rPr>
        <w:t>чисельність зайця-</w:t>
      </w:r>
      <w:r w:rsidR="00C305F5">
        <w:rPr>
          <w:bCs/>
          <w:sz w:val="28"/>
          <w:szCs w:val="28"/>
          <w:lang w:val="uk-UA"/>
        </w:rPr>
        <w:t xml:space="preserve">русака </w:t>
      </w:r>
      <w:r w:rsidR="001E1F29">
        <w:rPr>
          <w:bCs/>
          <w:sz w:val="28"/>
          <w:szCs w:val="28"/>
          <w:lang w:val="uk-UA"/>
        </w:rPr>
        <w:t xml:space="preserve">за останні 5 років </w:t>
      </w:r>
      <w:r w:rsidR="00CA4A30">
        <w:rPr>
          <w:bCs/>
          <w:sz w:val="28"/>
          <w:szCs w:val="28"/>
          <w:lang w:val="uk-UA"/>
        </w:rPr>
        <w:t xml:space="preserve">зменшилась </w:t>
      </w:r>
      <w:r w:rsidR="00604EE4">
        <w:rPr>
          <w:bCs/>
          <w:sz w:val="28"/>
          <w:szCs w:val="28"/>
          <w:lang w:val="uk-UA"/>
        </w:rPr>
        <w:t>майже на 8тис. голів</w:t>
      </w:r>
      <w:r>
        <w:rPr>
          <w:bCs/>
          <w:sz w:val="28"/>
          <w:szCs w:val="28"/>
          <w:lang w:val="uk-UA"/>
        </w:rPr>
        <w:t xml:space="preserve"> або на </w:t>
      </w:r>
      <w:r w:rsidR="00CA4A30">
        <w:rPr>
          <w:bCs/>
          <w:sz w:val="28"/>
          <w:szCs w:val="28"/>
          <w:lang w:val="uk-UA"/>
        </w:rPr>
        <w:t>16,0</w:t>
      </w:r>
      <w:r w:rsidR="00604EE4">
        <w:rPr>
          <w:bCs/>
          <w:sz w:val="28"/>
          <w:szCs w:val="28"/>
          <w:lang w:val="uk-UA"/>
        </w:rPr>
        <w:t>%</w:t>
      </w:r>
      <w:r w:rsidR="00C305F5">
        <w:rPr>
          <w:bCs/>
          <w:sz w:val="28"/>
          <w:szCs w:val="28"/>
          <w:lang w:val="uk-UA"/>
        </w:rPr>
        <w:t>.</w:t>
      </w:r>
    </w:p>
    <w:p w:rsidR="00561769" w:rsidRDefault="00C305F5" w:rsidP="00C5582C">
      <w:pPr>
        <w:ind w:right="-14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D55034">
        <w:rPr>
          <w:bCs/>
          <w:sz w:val="28"/>
          <w:szCs w:val="28"/>
          <w:lang w:val="uk-UA"/>
        </w:rPr>
        <w:t xml:space="preserve">Відсоток добування основних видів диких тварин відповідно до </w:t>
      </w:r>
      <w:r w:rsidR="00C74180">
        <w:rPr>
          <w:bCs/>
          <w:sz w:val="28"/>
          <w:szCs w:val="28"/>
          <w:lang w:val="uk-UA"/>
        </w:rPr>
        <w:t>встановлених</w:t>
      </w:r>
      <w:r w:rsidR="00D55034">
        <w:rPr>
          <w:bCs/>
          <w:sz w:val="28"/>
          <w:szCs w:val="28"/>
          <w:lang w:val="uk-UA"/>
        </w:rPr>
        <w:t xml:space="preserve"> ліміт</w:t>
      </w:r>
      <w:r w:rsidR="00C74180">
        <w:rPr>
          <w:bCs/>
          <w:sz w:val="28"/>
          <w:szCs w:val="28"/>
          <w:lang w:val="uk-UA"/>
        </w:rPr>
        <w:t>ів</w:t>
      </w:r>
      <w:r w:rsidR="00D55034">
        <w:rPr>
          <w:bCs/>
          <w:sz w:val="28"/>
          <w:szCs w:val="28"/>
          <w:lang w:val="uk-UA"/>
        </w:rPr>
        <w:t xml:space="preserve"> їх використання за останні </w:t>
      </w:r>
      <w:r w:rsidR="00C74180">
        <w:rPr>
          <w:bCs/>
          <w:sz w:val="28"/>
          <w:szCs w:val="28"/>
          <w:lang w:val="uk-UA"/>
        </w:rPr>
        <w:t>5</w:t>
      </w:r>
      <w:r w:rsidR="00D55034">
        <w:rPr>
          <w:bCs/>
          <w:sz w:val="28"/>
          <w:szCs w:val="28"/>
          <w:lang w:val="uk-UA"/>
        </w:rPr>
        <w:t xml:space="preserve"> рок</w:t>
      </w:r>
      <w:r w:rsidR="00C74180">
        <w:rPr>
          <w:bCs/>
          <w:sz w:val="28"/>
          <w:szCs w:val="28"/>
          <w:lang w:val="uk-UA"/>
        </w:rPr>
        <w:t>ів</w:t>
      </w:r>
      <w:r w:rsidR="00D55034">
        <w:rPr>
          <w:bCs/>
          <w:sz w:val="28"/>
          <w:szCs w:val="28"/>
          <w:lang w:val="uk-UA"/>
        </w:rPr>
        <w:t xml:space="preserve"> </w:t>
      </w:r>
      <w:r w:rsidR="00C74180">
        <w:rPr>
          <w:bCs/>
          <w:sz w:val="28"/>
          <w:szCs w:val="28"/>
          <w:lang w:val="uk-UA"/>
        </w:rPr>
        <w:t xml:space="preserve">в середньому знаходиться в межах від 54,5% (сезон полювання 2012/2013 років) до 70,1% (сезон полювання 2010/2011 роки). </w:t>
      </w:r>
    </w:p>
    <w:p w:rsidR="00F934A7" w:rsidRDefault="00C74180" w:rsidP="00C5582C">
      <w:pPr>
        <w:ind w:right="-143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 сезон полювання 2014/2015 років </w:t>
      </w:r>
      <w:r w:rsidR="00561769">
        <w:rPr>
          <w:bCs/>
          <w:sz w:val="28"/>
          <w:szCs w:val="28"/>
          <w:lang w:val="uk-UA"/>
        </w:rPr>
        <w:t>цей</w:t>
      </w:r>
      <w:r>
        <w:rPr>
          <w:bCs/>
          <w:sz w:val="28"/>
          <w:szCs w:val="28"/>
          <w:lang w:val="uk-UA"/>
        </w:rPr>
        <w:t xml:space="preserve"> показник </w:t>
      </w:r>
      <w:r w:rsidR="00561769">
        <w:rPr>
          <w:bCs/>
          <w:sz w:val="28"/>
          <w:szCs w:val="28"/>
          <w:lang w:val="uk-UA"/>
        </w:rPr>
        <w:t xml:space="preserve">становить </w:t>
      </w:r>
      <w:r w:rsidR="001F760E">
        <w:rPr>
          <w:bCs/>
          <w:sz w:val="28"/>
          <w:szCs w:val="28"/>
          <w:lang w:val="uk-UA"/>
        </w:rPr>
        <w:t>63%. Тобто ліміт добування диких тварин з різних причин в повному обсязі не використовується.</w:t>
      </w:r>
    </w:p>
    <w:p w:rsidR="001F760E" w:rsidRDefault="001F760E" w:rsidP="00C5582C">
      <w:pPr>
        <w:ind w:right="-143"/>
        <w:jc w:val="both"/>
        <w:rPr>
          <w:bCs/>
          <w:sz w:val="28"/>
          <w:szCs w:val="28"/>
          <w:lang w:val="uk-UA"/>
        </w:rPr>
      </w:pP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У 2014 році працівник</w:t>
      </w:r>
      <w:r w:rsidRPr="002C364E">
        <w:rPr>
          <w:sz w:val="28"/>
          <w:szCs w:val="28"/>
          <w:lang w:val="uk-UA"/>
        </w:rPr>
        <w:t xml:space="preserve">и Державної  екологічної  інспекції у Житомирській області </w:t>
      </w:r>
      <w:r w:rsidR="00E6677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дійснили ряд перевірок на предмет дотримання користувачами мисливських угідь природоохоронного законодавства. </w:t>
      </w:r>
      <w:r w:rsidRPr="002C364E">
        <w:rPr>
          <w:sz w:val="28"/>
          <w:szCs w:val="28"/>
          <w:lang w:val="uk-UA"/>
        </w:rPr>
        <w:t xml:space="preserve">Серед основних порушень, які </w:t>
      </w:r>
      <w:r>
        <w:rPr>
          <w:sz w:val="28"/>
          <w:szCs w:val="28"/>
          <w:lang w:val="uk-UA"/>
        </w:rPr>
        <w:t xml:space="preserve">було виявлено, </w:t>
      </w:r>
      <w:r w:rsidRPr="002C364E">
        <w:rPr>
          <w:sz w:val="28"/>
          <w:szCs w:val="28"/>
          <w:lang w:val="uk-UA"/>
        </w:rPr>
        <w:t>такі: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відсутні конкретні дати відкриття та закриття полювання на певний вид мисливських тварин, дні полювання протягом тижня;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первинний облік чисельності і добування мисливських тварин проводиться, в основному, з порушеннями вимог, передбачених у проекті мисливського впорядкування;.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деякі мисливські господарства займаються розведенням та утриманням мисливських тварин у напіввільних умовах, без відповідних дозвільних документів;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у більшості господарств відсутній режим охорони тварин, занесених до Червоної книги України і включених до переліків видів тварин, які підлягають особливій охороні, не проводиться державний облік Червонокнижних тварин, відсутні картосхеми їх поширення та місць перебування;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не проводиться селекційний та вибірковий діагностичний відстріл мисливських тварин для ветеринарно-санітарної експертизи;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не у всіх мисливських господарствах оформлені матеріали для визначення відтворювальних ділянок (відсутні погодження з власниками земельних ділянок, відсутні накази користувачів мисливських угідь, в яких вказується площа угідь, детальний опис її меж, вид мисливських тварин, для відтворення яких вона виділена;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  <w:r w:rsidRPr="002C364E">
        <w:rPr>
          <w:sz w:val="28"/>
          <w:szCs w:val="28"/>
          <w:lang w:val="uk-UA"/>
        </w:rPr>
        <w:t>- не проводиться на належному рівні боротьба з браконьєрством</w:t>
      </w:r>
      <w:r>
        <w:rPr>
          <w:sz w:val="28"/>
          <w:szCs w:val="28"/>
          <w:lang w:val="uk-UA"/>
        </w:rPr>
        <w:t xml:space="preserve"> та інші</w:t>
      </w:r>
    </w:p>
    <w:p w:rsidR="00E6677B" w:rsidRDefault="002C364E" w:rsidP="00C5582C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2C364E">
        <w:rPr>
          <w:sz w:val="28"/>
          <w:szCs w:val="28"/>
          <w:lang w:val="uk-UA"/>
        </w:rPr>
        <w:t xml:space="preserve"> 2014 </w:t>
      </w:r>
      <w:r>
        <w:rPr>
          <w:sz w:val="28"/>
          <w:szCs w:val="28"/>
          <w:lang w:val="uk-UA"/>
        </w:rPr>
        <w:t>році</w:t>
      </w:r>
      <w:r w:rsidRPr="002C364E">
        <w:rPr>
          <w:sz w:val="28"/>
          <w:szCs w:val="28"/>
          <w:lang w:val="uk-UA"/>
        </w:rPr>
        <w:t xml:space="preserve"> до адміністративної відповідальності за браконьєрство </w:t>
      </w:r>
      <w:r>
        <w:rPr>
          <w:sz w:val="28"/>
          <w:szCs w:val="28"/>
          <w:lang w:val="uk-UA"/>
        </w:rPr>
        <w:t xml:space="preserve">притягнено </w:t>
      </w:r>
      <w:r w:rsidRPr="002C364E">
        <w:rPr>
          <w:sz w:val="28"/>
          <w:szCs w:val="28"/>
          <w:lang w:val="uk-UA"/>
        </w:rPr>
        <w:t xml:space="preserve">136 осіб та накладено штрафів </w:t>
      </w:r>
      <w:r w:rsidR="00C425A5">
        <w:rPr>
          <w:sz w:val="28"/>
          <w:szCs w:val="28"/>
          <w:lang w:val="uk-UA"/>
        </w:rPr>
        <w:t xml:space="preserve">на суму </w:t>
      </w:r>
      <w:r w:rsidRPr="002C364E">
        <w:rPr>
          <w:sz w:val="28"/>
          <w:szCs w:val="28"/>
          <w:lang w:val="uk-UA"/>
        </w:rPr>
        <w:t>30</w:t>
      </w:r>
      <w:r w:rsidR="00C425A5">
        <w:rPr>
          <w:sz w:val="28"/>
          <w:szCs w:val="28"/>
          <w:lang w:val="uk-UA"/>
        </w:rPr>
        <w:t xml:space="preserve"> тис. </w:t>
      </w:r>
      <w:r w:rsidRPr="002C364E">
        <w:rPr>
          <w:sz w:val="28"/>
          <w:szCs w:val="28"/>
          <w:lang w:val="uk-UA"/>
        </w:rPr>
        <w:t>784 грн.</w:t>
      </w:r>
      <w:r w:rsidR="00E6677B">
        <w:rPr>
          <w:sz w:val="28"/>
          <w:szCs w:val="28"/>
          <w:lang w:val="uk-UA"/>
        </w:rPr>
        <w:t xml:space="preserve"> </w:t>
      </w:r>
      <w:proofErr w:type="spellStart"/>
      <w:r w:rsidR="00E6677B">
        <w:rPr>
          <w:sz w:val="28"/>
          <w:szCs w:val="28"/>
          <w:lang w:val="uk-UA"/>
        </w:rPr>
        <w:t>нараховано</w:t>
      </w:r>
      <w:proofErr w:type="spellEnd"/>
      <w:r w:rsidR="00E6677B">
        <w:rPr>
          <w:sz w:val="28"/>
          <w:szCs w:val="28"/>
          <w:lang w:val="uk-UA"/>
        </w:rPr>
        <w:t xml:space="preserve"> збитків</w:t>
      </w:r>
      <w:r w:rsidR="00C425A5">
        <w:rPr>
          <w:sz w:val="28"/>
          <w:szCs w:val="28"/>
          <w:lang w:val="uk-UA"/>
        </w:rPr>
        <w:t xml:space="preserve"> </w:t>
      </w:r>
      <w:r w:rsidR="00E6677B">
        <w:rPr>
          <w:sz w:val="28"/>
          <w:szCs w:val="28"/>
          <w:lang w:val="uk-UA"/>
        </w:rPr>
        <w:t xml:space="preserve">на суму </w:t>
      </w:r>
      <w:r w:rsidRPr="002C364E">
        <w:rPr>
          <w:sz w:val="28"/>
          <w:szCs w:val="28"/>
          <w:lang w:val="uk-UA"/>
        </w:rPr>
        <w:t>58</w:t>
      </w:r>
      <w:r w:rsidR="00C425A5">
        <w:rPr>
          <w:sz w:val="28"/>
          <w:szCs w:val="28"/>
          <w:lang w:val="uk-UA"/>
        </w:rPr>
        <w:t xml:space="preserve"> тис. </w:t>
      </w:r>
      <w:r w:rsidRPr="002C364E">
        <w:rPr>
          <w:sz w:val="28"/>
          <w:szCs w:val="28"/>
          <w:lang w:val="uk-UA"/>
        </w:rPr>
        <w:t xml:space="preserve">грн. </w:t>
      </w:r>
    </w:p>
    <w:p w:rsidR="002C364E" w:rsidRPr="002C364E" w:rsidRDefault="00C425A5" w:rsidP="00C5582C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</w:t>
      </w:r>
      <w:r w:rsidR="002C364E" w:rsidRPr="002C364E">
        <w:rPr>
          <w:sz w:val="28"/>
          <w:szCs w:val="28"/>
          <w:lang w:val="uk-UA"/>
        </w:rPr>
        <w:t xml:space="preserve"> невиконання приписів притягнуто до відповідальності 8 керівників господарств. В період з серпня </w:t>
      </w:r>
      <w:r>
        <w:rPr>
          <w:sz w:val="28"/>
          <w:szCs w:val="28"/>
          <w:lang w:val="uk-UA"/>
        </w:rPr>
        <w:t>до сьогодні</w:t>
      </w:r>
      <w:r w:rsidR="002C364E" w:rsidRPr="002C364E">
        <w:rPr>
          <w:sz w:val="28"/>
          <w:szCs w:val="28"/>
          <w:lang w:val="uk-UA"/>
        </w:rPr>
        <w:t xml:space="preserve"> перевірки не проводяться в зв’язку з забороною Кабінету Міністрів, але Державна екологічна інспекція у Житомирській області на виконання листа Державної екологічної інспекції України від 30.12.2014 року «Щодо посилення державного контролю під час проведення обліків мисливських тварин», на виконання  вимог </w:t>
      </w:r>
      <w:r>
        <w:rPr>
          <w:sz w:val="28"/>
          <w:szCs w:val="28"/>
          <w:lang w:val="uk-UA"/>
        </w:rPr>
        <w:t xml:space="preserve">законів </w:t>
      </w:r>
      <w:r w:rsidR="002C364E" w:rsidRPr="002C364E">
        <w:rPr>
          <w:sz w:val="28"/>
          <w:szCs w:val="28"/>
          <w:lang w:val="uk-UA"/>
        </w:rPr>
        <w:t xml:space="preserve">України «Про тваринний світ» </w:t>
      </w:r>
      <w:r>
        <w:rPr>
          <w:sz w:val="28"/>
          <w:szCs w:val="28"/>
          <w:lang w:val="uk-UA"/>
        </w:rPr>
        <w:t>та</w:t>
      </w:r>
      <w:r w:rsidR="002C364E" w:rsidRPr="002C364E">
        <w:rPr>
          <w:sz w:val="28"/>
          <w:szCs w:val="28"/>
          <w:lang w:val="uk-UA"/>
        </w:rPr>
        <w:t xml:space="preserve"> «Про мисливське господарство та полювання», направила листи всім користувачам мисливських угідь, щодо проведення обліків.</w:t>
      </w:r>
    </w:p>
    <w:p w:rsidR="002C364E" w:rsidRPr="002C364E" w:rsidRDefault="002C364E" w:rsidP="00C5582C">
      <w:pPr>
        <w:ind w:right="-143"/>
        <w:jc w:val="both"/>
        <w:rPr>
          <w:sz w:val="28"/>
          <w:szCs w:val="28"/>
          <w:lang w:val="uk-UA"/>
        </w:rPr>
      </w:pPr>
    </w:p>
    <w:p w:rsidR="002C364E" w:rsidRPr="002C364E" w:rsidRDefault="002C364E" w:rsidP="00C5582C">
      <w:pPr>
        <w:ind w:right="-143" w:firstLine="567"/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 xml:space="preserve">Станом на 10.02.15 року </w:t>
      </w:r>
      <w:r w:rsidR="00C425A5">
        <w:rPr>
          <w:bCs/>
          <w:sz w:val="28"/>
          <w:szCs w:val="28"/>
          <w:lang w:val="uk-UA"/>
        </w:rPr>
        <w:t xml:space="preserve">лише в </w:t>
      </w:r>
      <w:r w:rsidRPr="002C364E">
        <w:rPr>
          <w:bCs/>
          <w:sz w:val="28"/>
          <w:szCs w:val="28"/>
          <w:lang w:val="uk-UA"/>
        </w:rPr>
        <w:t xml:space="preserve">16 з 84 користувачів мисливських угідь </w:t>
      </w:r>
      <w:r w:rsidR="00C425A5">
        <w:rPr>
          <w:bCs/>
          <w:sz w:val="28"/>
          <w:szCs w:val="28"/>
          <w:lang w:val="uk-UA"/>
        </w:rPr>
        <w:t>відбулися перевірки з</w:t>
      </w:r>
      <w:r w:rsidRPr="002C364E">
        <w:rPr>
          <w:bCs/>
          <w:sz w:val="28"/>
          <w:szCs w:val="28"/>
          <w:lang w:val="uk-UA"/>
        </w:rPr>
        <w:t>а дотриманням вимог природоохоронного законодавства під час проведення обліку мисливських тварин. Зокрема, перевірено: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 xml:space="preserve">1.  </w:t>
      </w:r>
      <w:proofErr w:type="spellStart"/>
      <w:r w:rsidRPr="002C364E">
        <w:rPr>
          <w:bCs/>
          <w:sz w:val="28"/>
          <w:szCs w:val="28"/>
          <w:lang w:val="uk-UA"/>
        </w:rPr>
        <w:t>Коростишівський</w:t>
      </w:r>
      <w:proofErr w:type="spellEnd"/>
      <w:r w:rsidRPr="002C364E">
        <w:rPr>
          <w:bCs/>
          <w:sz w:val="28"/>
          <w:szCs w:val="28"/>
          <w:lang w:val="uk-UA"/>
        </w:rPr>
        <w:t xml:space="preserve"> РО УТМР;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2.  Новоград-Волинська РО УТМР;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 xml:space="preserve">3.  </w:t>
      </w:r>
      <w:proofErr w:type="spellStart"/>
      <w:r w:rsidRPr="002C364E">
        <w:rPr>
          <w:bCs/>
          <w:sz w:val="28"/>
          <w:szCs w:val="28"/>
          <w:lang w:val="uk-UA"/>
        </w:rPr>
        <w:t>Коростенська</w:t>
      </w:r>
      <w:proofErr w:type="spellEnd"/>
      <w:r w:rsidRPr="002C364E">
        <w:rPr>
          <w:bCs/>
          <w:sz w:val="28"/>
          <w:szCs w:val="28"/>
          <w:lang w:val="uk-UA"/>
        </w:rPr>
        <w:t xml:space="preserve"> ТМР;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4.  Новоград-Волинське МРТМР «Сокіл»;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5.  ГО «</w:t>
      </w:r>
      <w:proofErr w:type="spellStart"/>
      <w:r w:rsidRPr="002C364E">
        <w:rPr>
          <w:bCs/>
          <w:sz w:val="28"/>
          <w:szCs w:val="28"/>
          <w:lang w:val="uk-UA"/>
        </w:rPr>
        <w:t>Коростишівський</w:t>
      </w:r>
      <w:proofErr w:type="spellEnd"/>
      <w:r w:rsidRPr="002C364E">
        <w:rPr>
          <w:bCs/>
          <w:sz w:val="28"/>
          <w:szCs w:val="28"/>
          <w:lang w:val="uk-UA"/>
        </w:rPr>
        <w:t xml:space="preserve"> МК»;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6.  ГО «МРК «</w:t>
      </w:r>
      <w:proofErr w:type="spellStart"/>
      <w:r w:rsidRPr="002C364E">
        <w:rPr>
          <w:bCs/>
          <w:sz w:val="28"/>
          <w:szCs w:val="28"/>
          <w:lang w:val="uk-UA"/>
        </w:rPr>
        <w:t>Медведово</w:t>
      </w:r>
      <w:proofErr w:type="spellEnd"/>
      <w:r w:rsidRPr="002C364E">
        <w:rPr>
          <w:bCs/>
          <w:sz w:val="28"/>
          <w:szCs w:val="28"/>
          <w:lang w:val="uk-UA"/>
        </w:rPr>
        <w:t>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7.  ЖОГО «Мисливське Товариство «Корсар Ком»;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 xml:space="preserve">8.  </w:t>
      </w:r>
      <w:proofErr w:type="spellStart"/>
      <w:r w:rsidRPr="002C364E">
        <w:rPr>
          <w:bCs/>
          <w:sz w:val="28"/>
          <w:szCs w:val="28"/>
          <w:lang w:val="uk-UA"/>
        </w:rPr>
        <w:t>Андрушівський</w:t>
      </w:r>
      <w:proofErr w:type="spellEnd"/>
      <w:r w:rsidRPr="002C364E">
        <w:rPr>
          <w:bCs/>
          <w:sz w:val="28"/>
          <w:szCs w:val="28"/>
          <w:lang w:val="uk-UA"/>
        </w:rPr>
        <w:t xml:space="preserve"> МРК «Сапсан»;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9.  СФГ «Земля Полісся»;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10. ТОВ «МК «</w:t>
      </w:r>
      <w:proofErr w:type="spellStart"/>
      <w:r w:rsidRPr="002C364E">
        <w:rPr>
          <w:bCs/>
          <w:sz w:val="28"/>
          <w:szCs w:val="28"/>
          <w:lang w:val="uk-UA"/>
        </w:rPr>
        <w:t>Романівський</w:t>
      </w:r>
      <w:proofErr w:type="spellEnd"/>
      <w:r w:rsidRPr="002C364E">
        <w:rPr>
          <w:bCs/>
          <w:sz w:val="28"/>
          <w:szCs w:val="28"/>
          <w:lang w:val="uk-UA"/>
        </w:rPr>
        <w:t>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 xml:space="preserve">11  ТОВ «Аделаїда </w:t>
      </w:r>
      <w:proofErr w:type="spellStart"/>
      <w:r w:rsidRPr="002C364E">
        <w:rPr>
          <w:bCs/>
          <w:sz w:val="28"/>
          <w:szCs w:val="28"/>
          <w:lang w:val="uk-UA"/>
        </w:rPr>
        <w:t>Хантер</w:t>
      </w:r>
      <w:proofErr w:type="spellEnd"/>
      <w:r w:rsidRPr="002C364E">
        <w:rPr>
          <w:bCs/>
          <w:sz w:val="28"/>
          <w:szCs w:val="28"/>
          <w:lang w:val="uk-UA"/>
        </w:rPr>
        <w:t>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12.  ТОВ «РК «</w:t>
      </w:r>
      <w:proofErr w:type="spellStart"/>
      <w:r w:rsidRPr="002C364E">
        <w:rPr>
          <w:bCs/>
          <w:sz w:val="28"/>
          <w:szCs w:val="28"/>
          <w:lang w:val="uk-UA"/>
        </w:rPr>
        <w:t>Романівський</w:t>
      </w:r>
      <w:proofErr w:type="spellEnd"/>
      <w:r w:rsidRPr="002C364E">
        <w:rPr>
          <w:bCs/>
          <w:sz w:val="28"/>
          <w:szCs w:val="28"/>
          <w:lang w:val="uk-UA"/>
        </w:rPr>
        <w:t>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 xml:space="preserve">13. МРК « </w:t>
      </w:r>
      <w:proofErr w:type="spellStart"/>
      <w:r w:rsidRPr="002C364E">
        <w:rPr>
          <w:bCs/>
          <w:sz w:val="28"/>
          <w:szCs w:val="28"/>
          <w:lang w:val="uk-UA"/>
        </w:rPr>
        <w:t>Цвіляни</w:t>
      </w:r>
      <w:proofErr w:type="spellEnd"/>
      <w:r w:rsidRPr="002C364E">
        <w:rPr>
          <w:bCs/>
          <w:sz w:val="28"/>
          <w:szCs w:val="28"/>
          <w:lang w:val="uk-UA"/>
        </w:rPr>
        <w:t>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14 .ГО МРК «Артеміда»;</w:t>
      </w:r>
    </w:p>
    <w:p w:rsidR="002C364E" w:rsidRPr="002C364E" w:rsidRDefault="002C364E" w:rsidP="002C364E">
      <w:pPr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15. ГО МРК «</w:t>
      </w:r>
      <w:proofErr w:type="spellStart"/>
      <w:r w:rsidRPr="002C364E">
        <w:rPr>
          <w:bCs/>
          <w:sz w:val="28"/>
          <w:szCs w:val="28"/>
          <w:lang w:val="uk-UA"/>
        </w:rPr>
        <w:t>Медведово</w:t>
      </w:r>
      <w:proofErr w:type="spellEnd"/>
      <w:r w:rsidRPr="002C364E">
        <w:rPr>
          <w:bCs/>
          <w:sz w:val="28"/>
          <w:szCs w:val="28"/>
          <w:lang w:val="uk-UA"/>
        </w:rPr>
        <w:t>»;</w:t>
      </w:r>
    </w:p>
    <w:p w:rsidR="002C364E" w:rsidRPr="002C364E" w:rsidRDefault="002C364E" w:rsidP="00C5582C">
      <w:pPr>
        <w:ind w:right="-284"/>
        <w:jc w:val="both"/>
        <w:rPr>
          <w:bCs/>
          <w:sz w:val="28"/>
          <w:szCs w:val="28"/>
          <w:lang w:val="uk-UA"/>
        </w:rPr>
      </w:pPr>
      <w:r w:rsidRPr="002C364E">
        <w:rPr>
          <w:bCs/>
          <w:sz w:val="28"/>
          <w:szCs w:val="28"/>
          <w:lang w:val="uk-UA"/>
        </w:rPr>
        <w:t>16.Ружинська РО УТМР.</w:t>
      </w:r>
    </w:p>
    <w:p w:rsidR="002C364E" w:rsidRPr="002C364E" w:rsidRDefault="002C364E" w:rsidP="002C364E">
      <w:pPr>
        <w:jc w:val="both"/>
        <w:rPr>
          <w:sz w:val="28"/>
          <w:szCs w:val="28"/>
          <w:lang w:val="uk-UA"/>
        </w:rPr>
      </w:pPr>
    </w:p>
    <w:p w:rsidR="00673BC4" w:rsidRPr="00673BC4" w:rsidRDefault="00673BC4" w:rsidP="002C364E">
      <w:pPr>
        <w:jc w:val="both"/>
        <w:rPr>
          <w:sz w:val="28"/>
          <w:szCs w:val="28"/>
          <w:lang w:val="uk-UA"/>
        </w:rPr>
      </w:pPr>
    </w:p>
    <w:p w:rsidR="00673BC4" w:rsidRPr="00E6677B" w:rsidRDefault="00C5582C" w:rsidP="00C5582C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6677B">
        <w:rPr>
          <w:sz w:val="28"/>
          <w:szCs w:val="28"/>
          <w:lang w:val="uk-UA"/>
        </w:rPr>
        <w:t xml:space="preserve">В області створена робоча </w:t>
      </w:r>
      <w:r w:rsidR="00E6677B" w:rsidRPr="00E6677B">
        <w:rPr>
          <w:sz w:val="28"/>
          <w:szCs w:val="28"/>
          <w:lang w:val="uk-UA"/>
        </w:rPr>
        <w:t xml:space="preserve">група </w:t>
      </w:r>
      <w:r w:rsidR="00E6677B" w:rsidRPr="00E6677B">
        <w:rPr>
          <w:sz w:val="28"/>
          <w:szCs w:val="28"/>
        </w:rPr>
        <w:t xml:space="preserve">з  </w:t>
      </w:r>
      <w:proofErr w:type="spellStart"/>
      <w:r w:rsidR="00E6677B" w:rsidRPr="00E6677B">
        <w:rPr>
          <w:sz w:val="28"/>
          <w:szCs w:val="28"/>
        </w:rPr>
        <w:t>підготовки</w:t>
      </w:r>
      <w:proofErr w:type="spellEnd"/>
      <w:r w:rsidR="00E6677B" w:rsidRPr="00E6677B">
        <w:rPr>
          <w:sz w:val="28"/>
          <w:szCs w:val="28"/>
        </w:rPr>
        <w:t xml:space="preserve"> </w:t>
      </w:r>
      <w:proofErr w:type="spellStart"/>
      <w:r w:rsidR="00E6677B" w:rsidRPr="00E6677B">
        <w:rPr>
          <w:sz w:val="28"/>
          <w:szCs w:val="28"/>
        </w:rPr>
        <w:t>інформації</w:t>
      </w:r>
      <w:proofErr w:type="spellEnd"/>
      <w:r w:rsidR="00E6677B" w:rsidRPr="00E6677B">
        <w:rPr>
          <w:sz w:val="28"/>
          <w:szCs w:val="28"/>
        </w:rPr>
        <w:t xml:space="preserve">  </w:t>
      </w:r>
      <w:proofErr w:type="spellStart"/>
      <w:r w:rsidR="00E6677B" w:rsidRPr="00E6677B">
        <w:rPr>
          <w:sz w:val="28"/>
          <w:szCs w:val="28"/>
        </w:rPr>
        <w:t>щодо</w:t>
      </w:r>
      <w:proofErr w:type="spellEnd"/>
      <w:r w:rsidR="00E6677B" w:rsidRPr="00E6677B">
        <w:rPr>
          <w:sz w:val="28"/>
          <w:szCs w:val="28"/>
        </w:rPr>
        <w:t xml:space="preserve"> </w:t>
      </w:r>
      <w:proofErr w:type="spellStart"/>
      <w:r w:rsidR="00E6677B" w:rsidRPr="00E6677B">
        <w:rPr>
          <w:sz w:val="28"/>
          <w:szCs w:val="28"/>
        </w:rPr>
        <w:t>роботи</w:t>
      </w:r>
      <w:proofErr w:type="spellEnd"/>
      <w:r w:rsidR="00E6677B" w:rsidRPr="00E6677B">
        <w:rPr>
          <w:sz w:val="28"/>
          <w:szCs w:val="28"/>
        </w:rPr>
        <w:t xml:space="preserve"> </w:t>
      </w:r>
      <w:r w:rsidR="00E6677B" w:rsidRPr="001C4EEA">
        <w:rPr>
          <w:sz w:val="28"/>
          <w:szCs w:val="28"/>
          <w:lang w:val="uk-UA"/>
        </w:rPr>
        <w:t>користувачів</w:t>
      </w:r>
      <w:r w:rsidR="00E6677B" w:rsidRPr="00E6677B">
        <w:rPr>
          <w:sz w:val="28"/>
          <w:szCs w:val="28"/>
        </w:rPr>
        <w:t xml:space="preserve"> </w:t>
      </w:r>
      <w:r w:rsidR="00E6677B" w:rsidRPr="001C4EEA">
        <w:rPr>
          <w:sz w:val="28"/>
          <w:szCs w:val="28"/>
          <w:lang w:val="uk-UA"/>
        </w:rPr>
        <w:t>мисливськи</w:t>
      </w:r>
      <w:r w:rsidR="001C4EEA">
        <w:rPr>
          <w:sz w:val="28"/>
          <w:szCs w:val="28"/>
          <w:lang w:val="uk-UA"/>
        </w:rPr>
        <w:t xml:space="preserve">х </w:t>
      </w:r>
      <w:r w:rsidR="00E6677B" w:rsidRPr="00E6677B">
        <w:rPr>
          <w:sz w:val="28"/>
          <w:szCs w:val="28"/>
        </w:rPr>
        <w:t xml:space="preserve"> </w:t>
      </w:r>
      <w:r w:rsidR="00E6677B" w:rsidRPr="001C4EEA">
        <w:rPr>
          <w:sz w:val="28"/>
          <w:szCs w:val="28"/>
          <w:lang w:val="uk-UA"/>
        </w:rPr>
        <w:t>угід</w:t>
      </w:r>
      <w:r w:rsidR="001C4EEA">
        <w:rPr>
          <w:sz w:val="28"/>
          <w:szCs w:val="28"/>
          <w:lang w:val="uk-UA"/>
        </w:rPr>
        <w:t>ь</w:t>
      </w:r>
      <w:r w:rsidR="00E6677B">
        <w:rPr>
          <w:sz w:val="28"/>
          <w:szCs w:val="28"/>
          <w:lang w:val="uk-UA"/>
        </w:rPr>
        <w:t>, якою</w:t>
      </w:r>
      <w:r>
        <w:rPr>
          <w:sz w:val="28"/>
          <w:szCs w:val="28"/>
          <w:lang w:val="uk-UA"/>
        </w:rPr>
        <w:t xml:space="preserve"> підготовлено опитувальні листи, на підставі яких буде проаналізовано роботу кожного користувача мисливськими угіддями</w:t>
      </w:r>
      <w:r w:rsidR="005C38DA">
        <w:rPr>
          <w:sz w:val="28"/>
          <w:szCs w:val="28"/>
          <w:lang w:val="uk-UA"/>
        </w:rPr>
        <w:t>, визначено перелік питань для перевірки. Після закінчення терміну заборони на проведення перевірок робота групи буде продовжена шляхом перевірки роботи окремих користувачів мисливських угідь.</w:t>
      </w:r>
    </w:p>
    <w:p w:rsidR="00673BC4" w:rsidRPr="00673BC4" w:rsidRDefault="00673BC4" w:rsidP="002C364E">
      <w:pPr>
        <w:jc w:val="both"/>
        <w:rPr>
          <w:sz w:val="28"/>
          <w:szCs w:val="28"/>
          <w:lang w:val="uk-UA"/>
        </w:rPr>
      </w:pPr>
    </w:p>
    <w:p w:rsidR="00673BC4" w:rsidRPr="00673BC4" w:rsidRDefault="00673BC4" w:rsidP="002C364E">
      <w:pPr>
        <w:jc w:val="both"/>
        <w:rPr>
          <w:sz w:val="28"/>
          <w:szCs w:val="28"/>
          <w:lang w:val="uk-UA"/>
        </w:rPr>
      </w:pPr>
    </w:p>
    <w:p w:rsidR="00673BC4" w:rsidRPr="00673BC4" w:rsidRDefault="00673BC4" w:rsidP="002C364E">
      <w:pPr>
        <w:jc w:val="both"/>
        <w:rPr>
          <w:sz w:val="28"/>
          <w:szCs w:val="28"/>
          <w:lang w:val="uk-UA"/>
        </w:rPr>
      </w:pPr>
    </w:p>
    <w:p w:rsidR="00673BC4" w:rsidRDefault="0078768A" w:rsidP="002C36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начальника</w:t>
      </w:r>
    </w:p>
    <w:p w:rsidR="0078768A" w:rsidRPr="00673BC4" w:rsidRDefault="0078768A" w:rsidP="002C36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 ОУЛМГ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Р.В. Ільїн</w:t>
      </w:r>
    </w:p>
    <w:p w:rsidR="00673BC4" w:rsidRDefault="00673BC4" w:rsidP="002C364E">
      <w:pPr>
        <w:jc w:val="both"/>
        <w:rPr>
          <w:sz w:val="28"/>
          <w:szCs w:val="28"/>
          <w:lang w:val="uk-UA"/>
        </w:rPr>
      </w:pPr>
    </w:p>
    <w:p w:rsidR="0078768A" w:rsidRDefault="0078768A" w:rsidP="002C36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 w:rsidRPr="00C97946">
        <w:rPr>
          <w:sz w:val="28"/>
          <w:szCs w:val="28"/>
        </w:rPr>
        <w:t>ачальник</w:t>
      </w:r>
      <w:proofErr w:type="spellEnd"/>
      <w:r w:rsidRPr="00C97946">
        <w:rPr>
          <w:sz w:val="28"/>
          <w:szCs w:val="28"/>
        </w:rPr>
        <w:t xml:space="preserve"> </w:t>
      </w:r>
      <w:proofErr w:type="spellStart"/>
      <w:r w:rsidRPr="00C97946">
        <w:rPr>
          <w:sz w:val="28"/>
          <w:szCs w:val="28"/>
        </w:rPr>
        <w:t>державної</w:t>
      </w:r>
      <w:proofErr w:type="spellEnd"/>
      <w:r w:rsidRPr="00C97946">
        <w:rPr>
          <w:sz w:val="28"/>
          <w:szCs w:val="28"/>
        </w:rPr>
        <w:t xml:space="preserve"> </w:t>
      </w:r>
      <w:proofErr w:type="spellStart"/>
      <w:r w:rsidRPr="00C97946">
        <w:rPr>
          <w:sz w:val="28"/>
          <w:szCs w:val="28"/>
        </w:rPr>
        <w:t>екологічної</w:t>
      </w:r>
      <w:proofErr w:type="spellEnd"/>
    </w:p>
    <w:p w:rsidR="0078768A" w:rsidRPr="0078768A" w:rsidRDefault="0078768A" w:rsidP="002C364E">
      <w:pPr>
        <w:jc w:val="both"/>
        <w:rPr>
          <w:sz w:val="28"/>
          <w:szCs w:val="28"/>
          <w:lang w:val="uk-UA"/>
        </w:rPr>
      </w:pPr>
      <w:proofErr w:type="spellStart"/>
      <w:r w:rsidRPr="00C97946">
        <w:rPr>
          <w:sz w:val="28"/>
          <w:szCs w:val="28"/>
        </w:rPr>
        <w:t>інспекції</w:t>
      </w:r>
      <w:proofErr w:type="spellEnd"/>
      <w:r w:rsidRPr="00C97946">
        <w:rPr>
          <w:sz w:val="28"/>
          <w:szCs w:val="28"/>
        </w:rPr>
        <w:t xml:space="preserve"> в </w:t>
      </w:r>
      <w:proofErr w:type="spellStart"/>
      <w:r w:rsidRPr="00C97946">
        <w:rPr>
          <w:sz w:val="28"/>
          <w:szCs w:val="28"/>
        </w:rPr>
        <w:t>Житомирській</w:t>
      </w:r>
      <w:proofErr w:type="spellEnd"/>
      <w:r w:rsidRPr="00C97946">
        <w:rPr>
          <w:sz w:val="28"/>
          <w:szCs w:val="28"/>
        </w:rPr>
        <w:t xml:space="preserve"> </w:t>
      </w:r>
      <w:proofErr w:type="spellStart"/>
      <w:r w:rsidRPr="00C97946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Б.Й. Гнатюк</w:t>
      </w:r>
      <w:bookmarkStart w:id="0" w:name="_GoBack"/>
      <w:bookmarkEnd w:id="0"/>
    </w:p>
    <w:p w:rsidR="00673BC4" w:rsidRPr="00673BC4" w:rsidRDefault="00673BC4" w:rsidP="002C364E">
      <w:pPr>
        <w:jc w:val="both"/>
        <w:rPr>
          <w:sz w:val="28"/>
          <w:szCs w:val="28"/>
          <w:lang w:val="uk-UA"/>
        </w:rPr>
      </w:pPr>
    </w:p>
    <w:p w:rsidR="00673BC4" w:rsidRPr="00673BC4" w:rsidRDefault="00673BC4" w:rsidP="002C364E">
      <w:pPr>
        <w:jc w:val="both"/>
        <w:rPr>
          <w:sz w:val="28"/>
          <w:szCs w:val="28"/>
          <w:lang w:val="uk-UA"/>
        </w:rPr>
      </w:pPr>
    </w:p>
    <w:p w:rsidR="002C364E" w:rsidRPr="00673BC4" w:rsidRDefault="002C364E">
      <w:pPr>
        <w:ind w:firstLine="708"/>
        <w:jc w:val="both"/>
        <w:rPr>
          <w:sz w:val="28"/>
          <w:szCs w:val="28"/>
          <w:lang w:val="uk-UA"/>
        </w:rPr>
      </w:pPr>
    </w:p>
    <w:sectPr w:rsidR="002C364E" w:rsidRPr="00673BC4" w:rsidSect="00060B30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EBE"/>
    <w:multiLevelType w:val="hybridMultilevel"/>
    <w:tmpl w:val="9FE0DBB2"/>
    <w:lvl w:ilvl="0" w:tplc="9ACAC7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75514E7"/>
    <w:multiLevelType w:val="hybridMultilevel"/>
    <w:tmpl w:val="906AC1DA"/>
    <w:lvl w:ilvl="0" w:tplc="D56AEC5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FB242A"/>
    <w:multiLevelType w:val="hybridMultilevel"/>
    <w:tmpl w:val="17103AF8"/>
    <w:lvl w:ilvl="0" w:tplc="BBECD4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241330"/>
    <w:multiLevelType w:val="hybridMultilevel"/>
    <w:tmpl w:val="8D7AEFBC"/>
    <w:lvl w:ilvl="0" w:tplc="82A8F812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E8"/>
    <w:rsid w:val="0002304C"/>
    <w:rsid w:val="00057B5C"/>
    <w:rsid w:val="00060B30"/>
    <w:rsid w:val="000D6D45"/>
    <w:rsid w:val="00157F03"/>
    <w:rsid w:val="00187369"/>
    <w:rsid w:val="001C4EEA"/>
    <w:rsid w:val="001E1F29"/>
    <w:rsid w:val="001F760E"/>
    <w:rsid w:val="00225C0F"/>
    <w:rsid w:val="002305EA"/>
    <w:rsid w:val="00234BF8"/>
    <w:rsid w:val="00240F3A"/>
    <w:rsid w:val="002504DF"/>
    <w:rsid w:val="00262425"/>
    <w:rsid w:val="00277BBD"/>
    <w:rsid w:val="002A6218"/>
    <w:rsid w:val="002C364E"/>
    <w:rsid w:val="002C71B6"/>
    <w:rsid w:val="0030588F"/>
    <w:rsid w:val="00314B14"/>
    <w:rsid w:val="003246C3"/>
    <w:rsid w:val="003733CA"/>
    <w:rsid w:val="003912DA"/>
    <w:rsid w:val="0039792C"/>
    <w:rsid w:val="00410961"/>
    <w:rsid w:val="0043593E"/>
    <w:rsid w:val="004827EA"/>
    <w:rsid w:val="004971D9"/>
    <w:rsid w:val="00561769"/>
    <w:rsid w:val="00564777"/>
    <w:rsid w:val="005B2004"/>
    <w:rsid w:val="005C38DA"/>
    <w:rsid w:val="005F1C3E"/>
    <w:rsid w:val="005F780B"/>
    <w:rsid w:val="00602D3F"/>
    <w:rsid w:val="00604EE4"/>
    <w:rsid w:val="00663990"/>
    <w:rsid w:val="0066773B"/>
    <w:rsid w:val="00673BC4"/>
    <w:rsid w:val="006F1B40"/>
    <w:rsid w:val="006F6C62"/>
    <w:rsid w:val="007028D8"/>
    <w:rsid w:val="007072EE"/>
    <w:rsid w:val="0074314B"/>
    <w:rsid w:val="00760856"/>
    <w:rsid w:val="007841E8"/>
    <w:rsid w:val="0078768A"/>
    <w:rsid w:val="00794F1D"/>
    <w:rsid w:val="007B71B5"/>
    <w:rsid w:val="00814EAF"/>
    <w:rsid w:val="00852ACF"/>
    <w:rsid w:val="008621CF"/>
    <w:rsid w:val="008A42E0"/>
    <w:rsid w:val="008B31CA"/>
    <w:rsid w:val="008D21E1"/>
    <w:rsid w:val="008E334D"/>
    <w:rsid w:val="008F2E89"/>
    <w:rsid w:val="0099684C"/>
    <w:rsid w:val="009B6A9E"/>
    <w:rsid w:val="009D6AFF"/>
    <w:rsid w:val="00A63DE7"/>
    <w:rsid w:val="00AE7805"/>
    <w:rsid w:val="00B263B6"/>
    <w:rsid w:val="00B26CD4"/>
    <w:rsid w:val="00B56FC2"/>
    <w:rsid w:val="00B73220"/>
    <w:rsid w:val="00B746EF"/>
    <w:rsid w:val="00BA7BA0"/>
    <w:rsid w:val="00BF15B1"/>
    <w:rsid w:val="00C20C95"/>
    <w:rsid w:val="00C305F5"/>
    <w:rsid w:val="00C3288E"/>
    <w:rsid w:val="00C425A5"/>
    <w:rsid w:val="00C5582C"/>
    <w:rsid w:val="00C64118"/>
    <w:rsid w:val="00C74180"/>
    <w:rsid w:val="00C9388A"/>
    <w:rsid w:val="00CA4A30"/>
    <w:rsid w:val="00CB15A5"/>
    <w:rsid w:val="00CB39B9"/>
    <w:rsid w:val="00CB7FF2"/>
    <w:rsid w:val="00CF456F"/>
    <w:rsid w:val="00D01754"/>
    <w:rsid w:val="00D21496"/>
    <w:rsid w:val="00D46282"/>
    <w:rsid w:val="00D55034"/>
    <w:rsid w:val="00D87F36"/>
    <w:rsid w:val="00DB25F4"/>
    <w:rsid w:val="00DB750B"/>
    <w:rsid w:val="00DF6B17"/>
    <w:rsid w:val="00E13615"/>
    <w:rsid w:val="00E61AA5"/>
    <w:rsid w:val="00E6521E"/>
    <w:rsid w:val="00E6677B"/>
    <w:rsid w:val="00F6657A"/>
    <w:rsid w:val="00F934A7"/>
    <w:rsid w:val="00FD5A50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84C"/>
    <w:pPr>
      <w:keepNext/>
      <w:jc w:val="both"/>
      <w:outlineLvl w:val="0"/>
    </w:pPr>
    <w:rPr>
      <w:rFonts w:ascii="Arial" w:hAnsi="Arial" w:cs="Arial"/>
      <w:b/>
      <w:i/>
      <w:sz w:val="32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684C"/>
    <w:rPr>
      <w:rFonts w:ascii="Arial" w:hAnsi="Arial" w:cs="Arial"/>
      <w:b/>
      <w:i/>
      <w:sz w:val="24"/>
      <w:szCs w:val="24"/>
      <w:u w:val="single"/>
      <w:lang w:val="uk-UA"/>
    </w:rPr>
  </w:style>
  <w:style w:type="paragraph" w:styleId="a3">
    <w:name w:val="Subtitle"/>
    <w:basedOn w:val="a"/>
    <w:link w:val="a4"/>
    <w:uiPriority w:val="99"/>
    <w:qFormat/>
    <w:rsid w:val="0099684C"/>
    <w:pPr>
      <w:ind w:firstLine="720"/>
      <w:jc w:val="both"/>
    </w:pPr>
    <w:rPr>
      <w:sz w:val="28"/>
      <w:lang w:val="uk-UA"/>
    </w:rPr>
  </w:style>
  <w:style w:type="character" w:customStyle="1" w:styleId="a4">
    <w:name w:val="Подзаголовок Знак"/>
    <w:basedOn w:val="a0"/>
    <w:link w:val="a3"/>
    <w:uiPriority w:val="99"/>
    <w:locked/>
    <w:rsid w:val="0099684C"/>
    <w:rPr>
      <w:rFonts w:cs="Times New Roman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B25F4"/>
    <w:pPr>
      <w:ind w:left="720"/>
      <w:contextualSpacing/>
    </w:pPr>
  </w:style>
  <w:style w:type="table" w:styleId="a6">
    <w:name w:val="Table Grid"/>
    <w:basedOn w:val="a1"/>
    <w:uiPriority w:val="99"/>
    <w:rsid w:val="002504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8B3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31CA"/>
    <w:rPr>
      <w:rFonts w:ascii="Tahoma" w:hAnsi="Tahoma" w:cs="Tahoma"/>
      <w:sz w:val="16"/>
      <w:szCs w:val="16"/>
    </w:rPr>
  </w:style>
  <w:style w:type="paragraph" w:customStyle="1" w:styleId="a9">
    <w:name w:val=" Знак Знак Знак Знак Знак Знак Знак"/>
    <w:basedOn w:val="a"/>
    <w:rsid w:val="00E6677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84C"/>
    <w:pPr>
      <w:keepNext/>
      <w:jc w:val="both"/>
      <w:outlineLvl w:val="0"/>
    </w:pPr>
    <w:rPr>
      <w:rFonts w:ascii="Arial" w:hAnsi="Arial" w:cs="Arial"/>
      <w:b/>
      <w:i/>
      <w:sz w:val="32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684C"/>
    <w:rPr>
      <w:rFonts w:ascii="Arial" w:hAnsi="Arial" w:cs="Arial"/>
      <w:b/>
      <w:i/>
      <w:sz w:val="24"/>
      <w:szCs w:val="24"/>
      <w:u w:val="single"/>
      <w:lang w:val="uk-UA"/>
    </w:rPr>
  </w:style>
  <w:style w:type="paragraph" w:styleId="a3">
    <w:name w:val="Subtitle"/>
    <w:basedOn w:val="a"/>
    <w:link w:val="a4"/>
    <w:uiPriority w:val="99"/>
    <w:qFormat/>
    <w:rsid w:val="0099684C"/>
    <w:pPr>
      <w:ind w:firstLine="720"/>
      <w:jc w:val="both"/>
    </w:pPr>
    <w:rPr>
      <w:sz w:val="28"/>
      <w:lang w:val="uk-UA"/>
    </w:rPr>
  </w:style>
  <w:style w:type="character" w:customStyle="1" w:styleId="a4">
    <w:name w:val="Подзаголовок Знак"/>
    <w:basedOn w:val="a0"/>
    <w:link w:val="a3"/>
    <w:uiPriority w:val="99"/>
    <w:locked/>
    <w:rsid w:val="0099684C"/>
    <w:rPr>
      <w:rFonts w:cs="Times New Roman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B25F4"/>
    <w:pPr>
      <w:ind w:left="720"/>
      <w:contextualSpacing/>
    </w:pPr>
  </w:style>
  <w:style w:type="table" w:styleId="a6">
    <w:name w:val="Table Grid"/>
    <w:basedOn w:val="a1"/>
    <w:uiPriority w:val="99"/>
    <w:rsid w:val="002504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8B3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31CA"/>
    <w:rPr>
      <w:rFonts w:ascii="Tahoma" w:hAnsi="Tahoma" w:cs="Tahoma"/>
      <w:sz w:val="16"/>
      <w:szCs w:val="16"/>
    </w:rPr>
  </w:style>
  <w:style w:type="paragraph" w:customStyle="1" w:styleId="a9">
    <w:name w:val=" Знак Знак Знак Знак Знак Знак Знак"/>
    <w:basedOn w:val="a"/>
    <w:rsid w:val="00E6677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102;&#1079;&#1077;&#1088;\Desktop\&#1044;&#1110;&#1072;&#1075;&#1088;&#1072;&#1084;&#1072;%20&#1091;&#1075;&#1110;&#1076;&#1100;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102;&#1079;&#1077;&#1088;\Desktop\&#1044;&#1110;&#1072;&#1075;&#1088;&#1072;&#1084;&#1072;%20&#1091;&#1075;&#1110;&#1076;&#1100;.xls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 b="1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Мисливські угіддя</a:t>
            </a:r>
          </a:p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 b="1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Житомирської області</a:t>
            </a:r>
          </a:p>
        </c:rich>
      </c:tx>
      <c:layout>
        <c:manualLayout>
          <c:xMode val="edge"/>
          <c:yMode val="edge"/>
          <c:x val="0.29156061875244316"/>
          <c:y val="4.4552810209068691E-2"/>
        </c:manualLayout>
      </c:layout>
      <c:overlay val="0"/>
      <c:spPr>
        <a:noFill/>
        <a:ln w="25400">
          <a:noFill/>
        </a:ln>
      </c:spPr>
    </c:title>
    <c:autoTitleDeleted val="0"/>
    <c:view3D>
      <c:rotX val="15"/>
      <c:rotY val="2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9787892673278006E-2"/>
          <c:y val="0.26112797478900279"/>
          <c:w val="0.86836698092278086"/>
          <c:h val="0.48071286267975516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spPr>
              <a:solidFill>
                <a:srgbClr val="00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2611467197173602"/>
                  <c:y val="1.0044187514535367E-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915.5 тис.га (41.9 %)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7935280382945762"/>
                  <c:y val="-0.15807103226020797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1155.7 тис. га (52.9 %)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175602253539961"/>
                  <c:y val="-0.24056314163261233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113.7 тис. га
(5.2 %)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0391984441435266"/>
                  <c:y val="-0.3128690807799443"/>
                </c:manualLayout>
              </c:layout>
              <c:tx>
                <c:rich>
                  <a:bodyPr/>
                  <a:lstStyle/>
                  <a:p>
                    <a:pPr>
                      <a:defRPr sz="95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10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17,0 тис. га</a:t>
                    </a:r>
                  </a:p>
                  <a:p>
                    <a:pPr>
                      <a:defRPr sz="95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10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 (0,8%)</a:t>
                    </a:r>
                  </a:p>
                </c:rich>
              </c:tx>
              <c:numFmt formatCode="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'Мисливські угіддя'!$A$8:$A$10</c:f>
              <c:strCache>
                <c:ptCount val="3"/>
                <c:pt idx="0">
                  <c:v>Лісові угіддя</c:v>
                </c:pt>
                <c:pt idx="1">
                  <c:v>Польові угіддя</c:v>
                </c:pt>
                <c:pt idx="2">
                  <c:v>Водно-болотні угіддя</c:v>
                </c:pt>
              </c:strCache>
            </c:strRef>
          </c:cat>
          <c:val>
            <c:numRef>
              <c:f>'Мисливські угіддя'!$B$8:$B$10</c:f>
              <c:numCache>
                <c:formatCode>0.0</c:formatCode>
                <c:ptCount val="3"/>
                <c:pt idx="0">
                  <c:v>915.5</c:v>
                </c:pt>
                <c:pt idx="1">
                  <c:v>1147</c:v>
                </c:pt>
                <c:pt idx="2">
                  <c:v>113.7</c:v>
                </c:pt>
              </c:numCache>
            </c:numRef>
          </c:val>
        </c:ser>
        <c:ser>
          <c:idx val="1"/>
          <c:order val="1"/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</c:dPt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82804776791436"/>
          <c:y val="0.73590617628492638"/>
          <c:w val="0.80891898066881762"/>
          <c:h val="0.25222598757433801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100" b="1" i="1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75" b="1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Площа мисливських господарств Житомирської області</a:t>
            </a:r>
          </a:p>
        </c:rich>
      </c:tx>
      <c:layout>
        <c:manualLayout>
          <c:xMode val="edge"/>
          <c:yMode val="edge"/>
          <c:x val="0.24752056295125199"/>
          <c:y val="5.0207026260754836E-2"/>
        </c:manualLayout>
      </c:layout>
      <c:overlay val="0"/>
      <c:spPr>
        <a:noFill/>
        <a:ln w="25400">
          <a:noFill/>
        </a:ln>
      </c:spPr>
    </c:title>
    <c:autoTitleDeleted val="0"/>
    <c:view3D>
      <c:rotX val="15"/>
      <c:rotY val="2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487804878048779"/>
          <c:y val="0.2676927098748646"/>
          <c:w val="0.7"/>
          <c:h val="0.35076975776706393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25400">
              <a:noFill/>
            </a:ln>
          </c:spPr>
          <c:explosion val="20"/>
          <c:dPt>
            <c:idx val="0"/>
            <c:bubble3D val="0"/>
            <c:spPr>
              <a:solidFill>
                <a:srgbClr val="00FF00"/>
              </a:solidFill>
              <a:ln w="25400">
                <a:noFill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25400">
                <a:noFill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25400">
                <a:noFill/>
              </a:ln>
            </c:spPr>
          </c:dPt>
          <c:dPt>
            <c:idx val="3"/>
            <c:bubble3D val="0"/>
            <c:spPr>
              <a:solidFill>
                <a:srgbClr val="00CCFF"/>
              </a:solidFill>
              <a:ln w="25400">
                <a:noFill/>
              </a:ln>
            </c:spPr>
          </c:dPt>
          <c:dLbls>
            <c:dLbl>
              <c:idx val="0"/>
              <c:layout>
                <c:manualLayout>
                  <c:x val="0.17603149606299212"/>
                  <c:y val="-9.9873308740774547E-2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463.3 тис. га
(21.2 %)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2429320178950488"/>
                  <c:y val="7.6866955801647791E-2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1081.4  тис. га </a:t>
                    </a:r>
                  </a:p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(49.5 %)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3422777030919919"/>
                  <c:y val="-0.10169422413144255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17.0 тис. га
(0.8 %)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437976380716142"/>
                  <c:y val="-0.14266790180639191"/>
                </c:manualLayout>
              </c:layout>
              <c:tx>
                <c:rich>
                  <a:bodyPr/>
                  <a:lstStyle/>
                  <a:p>
                    <a:pPr>
                      <a:defRPr sz="8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623.3 тис. га
(28.5 %)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'Площа мисливських угідь'!$A$9:$A$12</c:f>
              <c:strCache>
                <c:ptCount val="4"/>
                <c:pt idx="0">
                  <c:v>Державні підприємства Житомирського ОУЛМГ</c:v>
                </c:pt>
                <c:pt idx="1">
                  <c:v>Угіддя УТМР Житомирської області</c:v>
                </c:pt>
                <c:pt idx="2">
                  <c:v>ДП «Тригірське ВМГ»ТВМР ЗСУ </c:v>
                </c:pt>
                <c:pt idx="3">
                  <c:v>Інші</c:v>
                </c:pt>
              </c:strCache>
            </c:strRef>
          </c:cat>
          <c:val>
            <c:numRef>
              <c:f>'Площа мисливських угідь'!$B$9:$B$12</c:f>
              <c:numCache>
                <c:formatCode>0.0</c:formatCode>
                <c:ptCount val="4"/>
                <c:pt idx="0">
                  <c:v>463.3</c:v>
                </c:pt>
                <c:pt idx="1">
                  <c:v>1081.4000000000001</c:v>
                </c:pt>
                <c:pt idx="2">
                  <c:v>17</c:v>
                </c:pt>
                <c:pt idx="3">
                  <c:v>623.29999999999995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1"/>
        <c:txPr>
          <a:bodyPr/>
          <a:lstStyle/>
          <a:p>
            <a:pPr>
              <a:defRPr sz="1000" b="1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</c:legendEntry>
      <c:layout>
        <c:manualLayout>
          <c:xMode val="edge"/>
          <c:yMode val="edge"/>
          <c:x val="0.18252302471302162"/>
          <c:y val="0.66052329001043542"/>
          <c:w val="0.73308156353389742"/>
          <c:h val="0.22588235294117648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1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F7F05-601E-4CA0-A107-77E00C90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1047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Микола Ковтуненко</cp:lastModifiedBy>
  <cp:revision>9</cp:revision>
  <cp:lastPrinted>2015-03-06T12:29:00Z</cp:lastPrinted>
  <dcterms:created xsi:type="dcterms:W3CDTF">2015-03-06T10:01:00Z</dcterms:created>
  <dcterms:modified xsi:type="dcterms:W3CDTF">2015-03-06T13:03:00Z</dcterms:modified>
</cp:coreProperties>
</file>