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C55" w:rsidRDefault="008B31EF">
      <w:pPr>
        <w:pStyle w:val="20"/>
        <w:shd w:val="clear" w:color="auto" w:fill="auto"/>
        <w:spacing w:after="196" w:line="240" w:lineRule="exact"/>
        <w:ind w:left="60"/>
      </w:pPr>
      <w:r>
        <w:t>з</w:t>
      </w:r>
    </w:p>
    <w:p w:rsidR="00E51C55" w:rsidRDefault="008B31EF" w:rsidP="00F75F47">
      <w:pPr>
        <w:pStyle w:val="30"/>
        <w:shd w:val="clear" w:color="auto" w:fill="auto"/>
        <w:spacing w:before="0" w:line="240" w:lineRule="auto"/>
        <w:jc w:val="right"/>
      </w:pPr>
      <w:r>
        <w:t>Додаток І</w:t>
      </w:r>
    </w:p>
    <w:p w:rsidR="00F75F47" w:rsidRDefault="008B31EF" w:rsidP="00F75F47">
      <w:pPr>
        <w:pStyle w:val="21"/>
        <w:shd w:val="clear" w:color="auto" w:fill="auto"/>
        <w:spacing w:after="0" w:line="240" w:lineRule="auto"/>
      </w:pPr>
      <w:r>
        <w:t>Пропозиції щодо внесення змін до Водного кодексу України</w:t>
      </w:r>
    </w:p>
    <w:p w:rsidR="00E51C55" w:rsidRDefault="008B31EF" w:rsidP="00F75F47">
      <w:pPr>
        <w:pStyle w:val="21"/>
        <w:shd w:val="clear" w:color="auto" w:fill="auto"/>
        <w:spacing w:after="0" w:line="240" w:lineRule="auto"/>
      </w:pPr>
      <w:r>
        <w:t xml:space="preserve"> з метою спрощення дозвільної системи у сфері спеціального водокористування</w:t>
      </w:r>
    </w:p>
    <w:p w:rsidR="00F75F47" w:rsidRDefault="00F75F47" w:rsidP="00F75F47">
      <w:pPr>
        <w:pStyle w:val="21"/>
        <w:shd w:val="clear" w:color="auto" w:fill="auto"/>
        <w:spacing w:after="0" w:line="240" w:lineRule="auto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54"/>
        <w:gridCol w:w="7964"/>
      </w:tblGrid>
      <w:tr w:rsidR="00E51C55" w:rsidTr="00F75F47">
        <w:trPr>
          <w:trHeight w:hRule="exact" w:val="274"/>
          <w:jc w:val="center"/>
        </w:trPr>
        <w:tc>
          <w:tcPr>
            <w:tcW w:w="8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1C55" w:rsidRDefault="008B31EF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"/>
                <w:b/>
                <w:bCs/>
              </w:rPr>
              <w:t>Редакція чинного закону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1C55" w:rsidRDefault="008B31EF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"/>
                <w:b/>
                <w:bCs/>
              </w:rPr>
              <w:t>Нова редакція</w:t>
            </w:r>
          </w:p>
        </w:tc>
      </w:tr>
      <w:tr w:rsidR="00E51C55" w:rsidTr="00F75F47">
        <w:trPr>
          <w:trHeight w:hRule="exact" w:val="8246"/>
          <w:jc w:val="center"/>
        </w:trPr>
        <w:tc>
          <w:tcPr>
            <w:tcW w:w="8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32" w:right="106" w:firstLine="108"/>
              <w:jc w:val="both"/>
            </w:pPr>
            <w:r>
              <w:rPr>
                <w:rStyle w:val="1"/>
                <w:b/>
                <w:bCs/>
              </w:rPr>
              <w:t>Стаття 49. Право на здійснення спеціального водокористування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32" w:right="106" w:firstLine="108"/>
              <w:jc w:val="both"/>
            </w:pPr>
            <w:r>
              <w:rPr>
                <w:rStyle w:val="a5"/>
              </w:rPr>
              <w:t>Спеціальне водокористування здійснюється на підставі дозволу. Дозвіл на спеціальне водокористування видається:.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32" w:right="106" w:firstLine="108"/>
              <w:jc w:val="both"/>
            </w:pPr>
            <w:r>
              <w:rPr>
                <w:rStyle w:val="a5"/>
              </w:rPr>
              <w:t>Радою міністрів Автономної Республіки Крим, обласними, Київською, Севастопольською міськими державними адміністраціями -у разі використання води водних об'єктів загальнодержавного значення;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32" w:right="106" w:firstLine="108"/>
              <w:jc w:val="both"/>
            </w:pPr>
            <w:r>
              <w:rPr>
                <w:rStyle w:val="a5"/>
              </w:rPr>
              <w:t>органом виконавчої влади Автономної Республіки Крим з питань охорони навколишнього природного середовища, обласними, Київською та Севастопольською міськими радами за погодженням із Радою, міністрів Автономної Республіки Крим, обласними, Київською, Севастопольською міськими державними адміністраціями - у разі використання води водних об'єктів місцевого значення.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32" w:right="106" w:firstLine="108"/>
              <w:jc w:val="both"/>
            </w:pPr>
            <w:r>
              <w:rPr>
                <w:rStyle w:val="a5"/>
              </w:rPr>
              <w:t>Дозвіл на спеціальне водокористування надається безоплатно.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32" w:right="106" w:firstLine="108"/>
              <w:jc w:val="both"/>
            </w:pPr>
            <w:r>
              <w:rPr>
                <w:rStyle w:val="a5"/>
              </w:rPr>
              <w:t>Строк видачі дозволу на спеціальне водокористування або надання письмового повідомлення про відмову в його видачі становить не більше тридцяти календарних днів з дня надходження на розгляд заяви та відповідних документів.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32" w:right="106" w:firstLine="108"/>
              <w:jc w:val="both"/>
            </w:pPr>
            <w:r>
              <w:rPr>
                <w:rStyle w:val="a5"/>
              </w:rPr>
              <w:t xml:space="preserve">Органи, зазначені у частині другій цієї статті, зобов’язані протягом п'яти календарних днів з дня надходження заяви на отримання дозволу на спеціальне водокористування надіслати завірені ними копії відповідних документів до центрального органу виконавчої влади, що реалізує державну політику у сфері розвитку водного господарства, у разі використання підземних вод - до центрального органу виконавчої влади, що реалізує державну політику у сфері </w:t>
            </w:r>
            <w:proofErr w:type="spellStart"/>
            <w:r>
              <w:rPr>
                <w:rStyle w:val="a5"/>
              </w:rPr>
              <w:t>геологічного.вивчення</w:t>
            </w:r>
            <w:proofErr w:type="spellEnd"/>
            <w:r>
              <w:rPr>
                <w:rStyle w:val="a5"/>
              </w:rPr>
              <w:t xml:space="preserve"> та раціонального використання надр, уразі використання водних об'єктів, віднесених до категорії лікувальних, - до центрального органу виконавчої влади, що реалізує державну політику у сфері охорони здоров'я.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32" w:right="106" w:firstLine="108"/>
              <w:jc w:val="both"/>
            </w:pPr>
            <w:r>
              <w:rPr>
                <w:rStyle w:val="a5"/>
              </w:rPr>
              <w:t>Центральні органи виконавчої влади, зазначені у частині п'ятій цієї статті, зобов'язані протягом п'ятнадцяти календарних днів з дня одержання копій документів надати безоплатно органам, що приймають рішення про видачу дозволу на. спеціальне водокористування, свої висновки щодо можливості його видачі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32" w:right="106" w:firstLine="108"/>
              <w:rPr>
                <w:rStyle w:val="a5"/>
              </w:rPr>
            </w:pPr>
            <w:r>
              <w:rPr>
                <w:rStyle w:val="a5"/>
              </w:rPr>
              <w:t>Органи, визначені частиною другою цієї статті, при прийнятті рішення про</w:t>
            </w:r>
          </w:p>
          <w:p w:rsidR="000572D7" w:rsidRDefault="000572D7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32" w:right="106" w:firstLine="108"/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49" w:right="132" w:firstLine="91"/>
              <w:jc w:val="both"/>
            </w:pPr>
            <w:r>
              <w:rPr>
                <w:rStyle w:val="1"/>
                <w:b/>
                <w:bCs/>
              </w:rPr>
              <w:t>Стаття 49. Право на здійснення спеціального водокористування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240" w:line="254" w:lineRule="exact"/>
              <w:ind w:left="149" w:right="132" w:firstLine="91"/>
              <w:jc w:val="both"/>
            </w:pPr>
            <w:r>
              <w:rPr>
                <w:rStyle w:val="a5"/>
              </w:rPr>
              <w:t>Спеціальне водокористування є платним та здійснюється на підставі дозволу.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before="240" w:after="0" w:line="254" w:lineRule="exact"/>
              <w:ind w:left="149" w:right="132" w:firstLine="91"/>
              <w:jc w:val="both"/>
            </w:pPr>
            <w:r>
              <w:rPr>
                <w:rStyle w:val="a5"/>
              </w:rPr>
              <w:t>Дозвіл на спеціальне водокористування видається: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49" w:right="132" w:firstLine="91"/>
              <w:jc w:val="both"/>
            </w:pPr>
            <w:r>
              <w:rPr>
                <w:rStyle w:val="a5"/>
              </w:rPr>
              <w:t>Радою міністрів Автономної Республіки Крим - обласними, Київською, Севастопольською міськими державними адміністраціями</w:t>
            </w:r>
            <w:r>
              <w:rPr>
                <w:rStyle w:val="1"/>
                <w:b/>
                <w:bCs/>
              </w:rPr>
              <w:t xml:space="preserve"> — </w:t>
            </w:r>
            <w:r>
              <w:rPr>
                <w:rStyle w:val="a5"/>
              </w:rPr>
              <w:t>у разі використання води водних об'єктів загальнодержавного значення;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49" w:right="132" w:firstLine="91"/>
              <w:jc w:val="both"/>
            </w:pPr>
            <w:r>
              <w:rPr>
                <w:rStyle w:val="a5"/>
              </w:rPr>
              <w:t>органом виконавчої влади Автономної Республіки Крим з питань охорони навколишнього природного середовища, обласними, Київською та Севастопольською міськими радами за погодженням із Радою міністрів Автономної. Республіки Крим, обласними, Київською, Севастопольською міськими державними адміністраціями</w:t>
            </w:r>
            <w:r>
              <w:rPr>
                <w:rStyle w:val="1"/>
                <w:b/>
                <w:bCs/>
              </w:rPr>
              <w:t xml:space="preserve"> - </w:t>
            </w:r>
            <w:r>
              <w:rPr>
                <w:rStyle w:val="a5"/>
              </w:rPr>
              <w:t>у разі використання води водних об'єктів місцевого значення.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49" w:right="132" w:firstLine="91"/>
              <w:jc w:val="both"/>
            </w:pPr>
            <w:r>
              <w:rPr>
                <w:rStyle w:val="a5"/>
              </w:rPr>
              <w:t>Дозвіл на спеціальне водокористування надається безоплатно.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49" w:right="132" w:firstLine="91"/>
              <w:jc w:val="left"/>
            </w:pPr>
            <w:r>
              <w:rPr>
                <w:rStyle w:val="a5"/>
              </w:rPr>
              <w:t>Строк видачі дозволу на спеціальне водокористування або надання . письмового повідомлення про відмову в його видачі становить не більше тридцяти календарних днів з дня надходження на розгляд заяви та відповідних документів.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shd w:val="clear" w:color="auto" w:fill="auto"/>
              <w:spacing w:after="0" w:line="254" w:lineRule="exact"/>
              <w:ind w:left="149" w:right="132" w:firstLine="91"/>
              <w:jc w:val="both"/>
            </w:pPr>
            <w:r>
              <w:rPr>
                <w:rStyle w:val="a5"/>
              </w:rPr>
              <w:t>Органи, зазначені у частині другій цієї статті, зобов'язані протягом п'яти календарних днів з дня надходження заяви на отримання дозволу на спеціальне водокористування надіслати завірені заявниками копії відповідних документів до: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99"/>
              </w:tabs>
              <w:spacing w:after="0" w:line="254" w:lineRule="exact"/>
              <w:ind w:left="149" w:right="132" w:firstLine="91"/>
              <w:jc w:val="both"/>
            </w:pPr>
            <w:r>
              <w:rPr>
                <w:rStyle w:val="a5"/>
              </w:rPr>
              <w:t>у разі використання поверхневих та підземних вод</w:t>
            </w:r>
            <w:r>
              <w:rPr>
                <w:rStyle w:val="1"/>
                <w:b/>
                <w:bCs/>
              </w:rPr>
              <w:t xml:space="preserve"> - </w:t>
            </w:r>
            <w:r>
              <w:rPr>
                <w:rStyle w:val="a5"/>
              </w:rPr>
              <w:t>до обласного (регіонального) органу виконавчої влади, що реалізує державну політику у сфері розвитку водного господарства. Для видачі відповідних висновків при використанні підземних вод органи виконавчої влади, що реалізують державну політику у сфері розвитку водного господарства, самостійно отримують та обов'язково враховують рекомендації спеціалізованих державних геологічних підприємств</w:t>
            </w:r>
          </w:p>
          <w:p w:rsidR="00E51C55" w:rsidRDefault="008B31EF" w:rsidP="00F75F47">
            <w:pPr>
              <w:pStyle w:val="21"/>
              <w:framePr w:w="16037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90"/>
              </w:tabs>
              <w:spacing w:after="0" w:line="254" w:lineRule="exact"/>
              <w:ind w:left="149" w:right="132" w:firstLine="91"/>
              <w:jc w:val="both"/>
            </w:pPr>
            <w:r>
              <w:rPr>
                <w:rStyle w:val="a5"/>
              </w:rPr>
              <w:t>у разі використання водних об'єктів, віднесених до категорії лікувальних, - до центрального органу виконавчої влади, що реалізує державну</w:t>
            </w:r>
          </w:p>
        </w:tc>
      </w:tr>
    </w:tbl>
    <w:p w:rsidR="00E51C55" w:rsidRDefault="00E51C55">
      <w:pPr>
        <w:rPr>
          <w:sz w:val="2"/>
          <w:szCs w:val="2"/>
        </w:rPr>
      </w:pPr>
    </w:p>
    <w:p w:rsidR="00E51C55" w:rsidRDefault="00E51C55">
      <w:pPr>
        <w:rPr>
          <w:sz w:val="2"/>
          <w:szCs w:val="2"/>
        </w:rPr>
      </w:pPr>
    </w:p>
    <w:p w:rsidR="000572D7" w:rsidRDefault="000572D7">
      <w:pPr>
        <w:rPr>
          <w:sz w:val="2"/>
          <w:szCs w:val="2"/>
        </w:rPr>
      </w:pPr>
    </w:p>
    <w:p w:rsidR="000572D7" w:rsidRDefault="000572D7">
      <w:pPr>
        <w:rPr>
          <w:sz w:val="2"/>
          <w:szCs w:val="2"/>
        </w:rPr>
      </w:pPr>
    </w:p>
    <w:p w:rsidR="000572D7" w:rsidRDefault="000572D7">
      <w:pPr>
        <w:rPr>
          <w:sz w:val="2"/>
          <w:szCs w:val="2"/>
        </w:rPr>
      </w:pPr>
    </w:p>
    <w:p w:rsidR="000572D7" w:rsidRDefault="000572D7">
      <w:pPr>
        <w:rPr>
          <w:sz w:val="2"/>
          <w:szCs w:val="2"/>
        </w:rPr>
      </w:pPr>
    </w:p>
    <w:p w:rsidR="000572D7" w:rsidRDefault="000572D7">
      <w:pPr>
        <w:rPr>
          <w:sz w:val="2"/>
          <w:szCs w:val="2"/>
        </w:rPr>
      </w:pPr>
    </w:p>
    <w:p w:rsidR="000572D7" w:rsidRDefault="000572D7">
      <w:pPr>
        <w:rPr>
          <w:sz w:val="2"/>
          <w:szCs w:val="2"/>
        </w:rPr>
      </w:pPr>
    </w:p>
    <w:tbl>
      <w:tblPr>
        <w:tblStyle w:val="a6"/>
        <w:tblW w:w="16018" w:type="dxa"/>
        <w:tblInd w:w="250" w:type="dxa"/>
        <w:tblLook w:val="04A0" w:firstRow="1" w:lastRow="0" w:firstColumn="1" w:lastColumn="0" w:noHBand="0" w:noVBand="1"/>
      </w:tblPr>
      <w:tblGrid>
        <w:gridCol w:w="7938"/>
        <w:gridCol w:w="8080"/>
      </w:tblGrid>
      <w:tr w:rsidR="000572D7" w:rsidTr="000572D7">
        <w:trPr>
          <w:trHeight w:val="4811"/>
        </w:trPr>
        <w:tc>
          <w:tcPr>
            <w:tcW w:w="7938" w:type="dxa"/>
          </w:tcPr>
          <w:p w:rsidR="000572D7" w:rsidRPr="000572D7" w:rsidRDefault="000572D7" w:rsidP="000572D7">
            <w:pPr>
              <w:pStyle w:val="21"/>
              <w:shd w:val="clear" w:color="auto" w:fill="auto"/>
              <w:spacing w:after="162"/>
              <w:ind w:left="20" w:right="40"/>
              <w:jc w:val="both"/>
              <w:rPr>
                <w:b w:val="0"/>
                <w:i/>
              </w:rPr>
            </w:pPr>
            <w:r w:rsidRPr="000572D7">
              <w:rPr>
                <w:b w:val="0"/>
                <w:i/>
              </w:rPr>
              <w:lastRenderedPageBreak/>
              <w:t>видачу дозволу на спеціальне водокористування або відмову в його видачі обов'язково враховують відповідні висновки центрального органу виконавчої влади, що реалізує державну політику у сфері розвитку водного господарства, центрального органу виконавчої в</w:t>
            </w:r>
            <w:r>
              <w:rPr>
                <w:b w:val="0"/>
                <w:i/>
              </w:rPr>
              <w:t>л</w:t>
            </w:r>
            <w:r w:rsidRPr="000572D7">
              <w:rPr>
                <w:b w:val="0"/>
                <w:i/>
              </w:rPr>
              <w:t>ади, що реалізує державну політику у сфері геологічного вивчення та раціонального використання надр, центрального органу виконавчої влади, що реалізує державну політику у сфері охорони здоров'я.</w:t>
            </w:r>
          </w:p>
          <w:p w:rsidR="000572D7" w:rsidRPr="000572D7" w:rsidRDefault="000572D7" w:rsidP="000572D7">
            <w:pPr>
              <w:pStyle w:val="21"/>
              <w:shd w:val="clear" w:color="auto" w:fill="auto"/>
              <w:spacing w:after="162"/>
              <w:ind w:left="20" w:right="40"/>
              <w:jc w:val="both"/>
              <w:rPr>
                <w:b w:val="0"/>
                <w:i/>
              </w:rPr>
            </w:pPr>
            <w:r w:rsidRPr="000572D7">
              <w:rPr>
                <w:b w:val="0"/>
                <w:i/>
              </w:rPr>
              <w:t>Порядок видачі дозволів на спеціальне водокористування затверджується Кабінетом Міністрів України.</w:t>
            </w:r>
          </w:p>
          <w:p w:rsidR="000572D7" w:rsidRPr="000572D7" w:rsidRDefault="000572D7" w:rsidP="000572D7">
            <w:pPr>
              <w:pStyle w:val="21"/>
              <w:shd w:val="clear" w:color="auto" w:fill="auto"/>
              <w:spacing w:after="0" w:line="192" w:lineRule="exact"/>
              <w:ind w:left="20" w:right="40"/>
              <w:jc w:val="both"/>
              <w:rPr>
                <w:b w:val="0"/>
                <w:i/>
              </w:rPr>
            </w:pPr>
            <w:r w:rsidRPr="000572D7">
              <w:rPr>
                <w:b w:val="0"/>
                <w:i/>
              </w:rPr>
              <w:t>У дозволі на спеціальне водокористування встановлюються ліміт забору води, ліміт використання води та ліміт скидання забруднюючих речовин. У разі настання маловоддя ці ліміти можуть бути зменшені спеціально уповноваженими державними органами без коригування дозволу на спеціальне водокористування.</w:t>
            </w:r>
          </w:p>
          <w:p w:rsidR="000572D7" w:rsidRPr="000572D7" w:rsidRDefault="000572D7" w:rsidP="000572D7">
            <w:pPr>
              <w:pStyle w:val="21"/>
              <w:shd w:val="clear" w:color="auto" w:fill="auto"/>
              <w:spacing w:after="0" w:line="192" w:lineRule="exact"/>
              <w:ind w:left="20" w:right="40"/>
              <w:jc w:val="both"/>
              <w:rPr>
                <w:b w:val="0"/>
                <w:i/>
              </w:rPr>
            </w:pPr>
            <w:r w:rsidRPr="000572D7">
              <w:rPr>
                <w:b w:val="0"/>
                <w:i/>
              </w:rPr>
              <w:t xml:space="preserve">Спеціальне водокористування є платним. </w:t>
            </w:r>
          </w:p>
          <w:p w:rsidR="000572D7" w:rsidRDefault="000572D7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0572D7" w:rsidRPr="000572D7" w:rsidRDefault="000572D7" w:rsidP="000572D7">
            <w:pPr>
              <w:pStyle w:val="21"/>
              <w:shd w:val="clear" w:color="auto" w:fill="auto"/>
              <w:spacing w:after="0" w:line="250" w:lineRule="exact"/>
              <w:ind w:left="40"/>
              <w:jc w:val="both"/>
              <w:rPr>
                <w:b w:val="0"/>
                <w:i/>
              </w:rPr>
            </w:pPr>
            <w:r>
              <w:rPr>
                <w:b w:val="0"/>
                <w:i/>
              </w:rPr>
              <w:t>політику у сфері охорони здоров</w:t>
            </w:r>
            <w:r w:rsidRPr="000572D7">
              <w:rPr>
                <w:b w:val="0"/>
                <w:i/>
              </w:rPr>
              <w:t>'я. .</w:t>
            </w:r>
          </w:p>
          <w:p w:rsidR="000572D7" w:rsidRPr="000572D7" w:rsidRDefault="000572D7" w:rsidP="000572D7">
            <w:pPr>
              <w:pStyle w:val="21"/>
              <w:shd w:val="clear" w:color="auto" w:fill="auto"/>
              <w:spacing w:after="0" w:line="250" w:lineRule="exact"/>
              <w:ind w:left="34" w:right="60" w:firstLine="283"/>
              <w:jc w:val="both"/>
              <w:rPr>
                <w:b w:val="0"/>
                <w:i/>
              </w:rPr>
            </w:pPr>
            <w:r w:rsidRPr="000572D7">
              <w:rPr>
                <w:b w:val="0"/>
                <w:i/>
              </w:rPr>
              <w:t xml:space="preserve">Органи виконавчої впади, зазначені у частині шостій цієї статті, зобов'язані протягом п'ятнадцяти календарних днів з дня одержання копій документів надати безоплатно органам, що приймають рішення про видачу дозволу на спеціальне водокористування свої висновки </w:t>
            </w:r>
            <w:r>
              <w:rPr>
                <w:b w:val="0"/>
                <w:i/>
              </w:rPr>
              <w:t xml:space="preserve">щодо можливості його видачі. При </w:t>
            </w:r>
            <w:r w:rsidRPr="000572D7">
              <w:rPr>
                <w:b w:val="0"/>
                <w:i/>
              </w:rPr>
              <w:t xml:space="preserve">повторному розгляді документів термін розгляду </w:t>
            </w:r>
            <w:r>
              <w:rPr>
                <w:b w:val="0"/>
                <w:i/>
              </w:rPr>
              <w:t>становить п</w:t>
            </w:r>
            <w:r w:rsidRPr="000572D7">
              <w:rPr>
                <w:b w:val="0"/>
                <w:i/>
              </w:rPr>
              <w:t>'ять днів.</w:t>
            </w:r>
          </w:p>
          <w:p w:rsidR="000572D7" w:rsidRPr="000572D7" w:rsidRDefault="000572D7" w:rsidP="000572D7">
            <w:pPr>
              <w:pStyle w:val="21"/>
              <w:shd w:val="clear" w:color="auto" w:fill="auto"/>
              <w:spacing w:after="0" w:line="250" w:lineRule="exact"/>
              <w:ind w:left="40" w:right="60" w:firstLine="240"/>
              <w:jc w:val="both"/>
              <w:rPr>
                <w:b w:val="0"/>
                <w:i/>
              </w:rPr>
            </w:pPr>
            <w:r w:rsidRPr="000572D7">
              <w:rPr>
                <w:b w:val="0"/>
                <w:i/>
              </w:rPr>
              <w:t>Органи, визначені частиною другою цієї ст</w:t>
            </w:r>
            <w:r>
              <w:rPr>
                <w:b w:val="0"/>
                <w:i/>
              </w:rPr>
              <w:t xml:space="preserve">атті, при прийнятті рішення про </w:t>
            </w:r>
            <w:r w:rsidRPr="000572D7">
              <w:rPr>
                <w:b w:val="0"/>
                <w:i/>
              </w:rPr>
              <w:t>видачу дозволу на спеціальне водокористування або відмову в його видачі обов'язково враховують відповідні висновки обласного (регіонального) органу виконавчої впади, що реалізує державну політику у сфері розвитку водного господарства.</w:t>
            </w:r>
          </w:p>
          <w:p w:rsidR="000572D7" w:rsidRPr="000572D7" w:rsidRDefault="000572D7" w:rsidP="000572D7">
            <w:pPr>
              <w:pStyle w:val="21"/>
              <w:shd w:val="clear" w:color="auto" w:fill="auto"/>
              <w:spacing w:after="132" w:line="197" w:lineRule="exact"/>
              <w:ind w:left="40" w:right="1240"/>
              <w:jc w:val="both"/>
              <w:rPr>
                <w:b w:val="0"/>
                <w:i/>
              </w:rPr>
            </w:pPr>
            <w:r w:rsidRPr="000572D7">
              <w:rPr>
                <w:b w:val="0"/>
                <w:i/>
              </w:rPr>
              <w:t>Порядок видачі дозволів на спеціальне водокористування та форми документів затверджується Кабінетом Міністрів України.</w:t>
            </w:r>
          </w:p>
          <w:p w:rsidR="000572D7" w:rsidRPr="000572D7" w:rsidRDefault="000572D7" w:rsidP="000572D7">
            <w:pPr>
              <w:pStyle w:val="21"/>
              <w:shd w:val="clear" w:color="auto" w:fill="auto"/>
              <w:spacing w:after="0" w:line="182" w:lineRule="exact"/>
              <w:ind w:left="40" w:right="60"/>
              <w:jc w:val="both"/>
              <w:rPr>
                <w:b w:val="0"/>
                <w:i/>
              </w:rPr>
            </w:pPr>
            <w:r w:rsidRPr="000572D7">
              <w:rPr>
                <w:b w:val="0"/>
                <w:i/>
              </w:rPr>
              <w:t>У дозволі на спеціальне водокористування встановлюються ліміт забору води, ліміт використання води та ліміт скидання забруднюючих речовин. У разі настання маловоддя ці ліміти можуть бути зменшені спеціально вповноваженими державними органами без коригування дозволу на спеціальне водокористування</w:t>
            </w:r>
          </w:p>
          <w:p w:rsidR="000572D7" w:rsidRDefault="000572D7" w:rsidP="000572D7">
            <w:pPr>
              <w:ind w:firstLine="176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Style w:val="1"/>
                <w:rFonts w:eastAsia="Courier New"/>
                <w:b w:val="0"/>
                <w:i/>
                <w:iCs/>
              </w:rPr>
              <w:t xml:space="preserve"> </w:t>
            </w:r>
            <w:r w:rsidRPr="000572D7">
              <w:rPr>
                <w:rStyle w:val="1"/>
                <w:rFonts w:eastAsia="Courier New"/>
                <w:b w:val="0"/>
                <w:i/>
                <w:iCs/>
              </w:rPr>
              <w:t>Спеціальне водокористування є платним.</w:t>
            </w:r>
          </w:p>
        </w:tc>
      </w:tr>
    </w:tbl>
    <w:p w:rsidR="000572D7" w:rsidRPr="000572D7" w:rsidRDefault="000572D7">
      <w:pPr>
        <w:rPr>
          <w:sz w:val="28"/>
          <w:szCs w:val="28"/>
        </w:rPr>
      </w:pPr>
    </w:p>
    <w:sectPr w:rsidR="000572D7" w:rsidRPr="000572D7" w:rsidSect="00F75F47">
      <w:type w:val="continuous"/>
      <w:pgSz w:w="16838" w:h="11906" w:orient="landscape"/>
      <w:pgMar w:top="754" w:right="340" w:bottom="726" w:left="34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6B5" w:rsidRDefault="002626B5">
      <w:r>
        <w:separator/>
      </w:r>
    </w:p>
  </w:endnote>
  <w:endnote w:type="continuationSeparator" w:id="0">
    <w:p w:rsidR="002626B5" w:rsidRDefault="0026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6B5" w:rsidRDefault="002626B5"/>
  </w:footnote>
  <w:footnote w:type="continuationSeparator" w:id="0">
    <w:p w:rsidR="002626B5" w:rsidRDefault="002626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034A9"/>
    <w:multiLevelType w:val="multilevel"/>
    <w:tmpl w:val="F8EAB2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1C55"/>
    <w:rsid w:val="000572D7"/>
    <w:rsid w:val="002626B5"/>
    <w:rsid w:val="008B31EF"/>
    <w:rsid w:val="00E51C55"/>
    <w:rsid w:val="00F7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a5">
    <w:name w:val="Основной текст + Не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Arial Narrow" w:eastAsia="Arial Narrow" w:hAnsi="Arial Narrow" w:cs="Arial Narrow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274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styleId="a6">
    <w:name w:val="Table Grid"/>
    <w:basedOn w:val="a1"/>
    <w:uiPriority w:val="59"/>
    <w:rsid w:val="000572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Exact">
    <w:name w:val="Основной текст (3) Exact"/>
    <w:basedOn w:val="a0"/>
    <w:rsid w:val="000572D7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3914</Words>
  <Characters>2231</Characters>
  <Application>Microsoft Office Word</Application>
  <DocSecurity>0</DocSecurity>
  <Lines>18</Lines>
  <Paragraphs>12</Paragraphs>
  <ScaleCrop>false</ScaleCrop>
  <Company/>
  <LinksUpToDate>false</LinksUpToDate>
  <CharactersWithSpaces>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Микола Глушенко</cp:lastModifiedBy>
  <cp:revision>3</cp:revision>
  <dcterms:created xsi:type="dcterms:W3CDTF">2015-09-16T13:51:00Z</dcterms:created>
  <dcterms:modified xsi:type="dcterms:W3CDTF">2015-09-16T14:10:00Z</dcterms:modified>
</cp:coreProperties>
</file>