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1D" w:rsidRDefault="00F3001D" w:rsidP="00F3001D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noProof/>
          <w:color w:val="101010"/>
          <w:sz w:val="28"/>
          <w:szCs w:val="28"/>
          <w:lang w:eastAsia="uk-UA"/>
        </w:rPr>
        <w:drawing>
          <wp:inline distT="0" distB="0" distL="0" distR="0">
            <wp:extent cx="381000" cy="426720"/>
            <wp:effectExtent l="19050" t="0" r="0" b="0"/>
            <wp:docPr id="1" name="Рисунок 1" descr="trizy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zy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1D" w:rsidRDefault="00F3001D" w:rsidP="00F3001D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uk-UA"/>
        </w:rPr>
        <w:t>Україна</w:t>
      </w:r>
      <w:r w:rsidRPr="00F3001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uk-UA"/>
        </w:rPr>
        <w:br/>
        <w:t>ЖИТОМИРСЬКА ОБЛАСНА РАДА</w:t>
      </w:r>
      <w:r w:rsidRPr="00F3001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uk-UA"/>
        </w:rPr>
        <w:br/>
        <w:t>РІШЕННЯ</w:t>
      </w:r>
    </w:p>
    <w:p w:rsidR="00F3001D" w:rsidRPr="00F3001D" w:rsidRDefault="00F3001D" w:rsidP="00F3001D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Тридцять перша сесія                                                                     VIІ скликання</w:t>
      </w: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від 25.06.2020 № 1963</w:t>
      </w: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Про затвердження переліків об’єктів</w:t>
      </w: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br/>
        <w:t>спільної власності територіальних  </w:t>
      </w: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br/>
        <w:t>громад сіл, селищ, міст області,</w:t>
      </w: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br/>
        <w:t>які підлягають приватизації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3544"/>
      </w:tblGrid>
      <w:tr w:rsidR="00F3001D" w:rsidRPr="00F3001D" w:rsidTr="00F3001D"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uk-UA"/>
              </w:rPr>
              <w:t>Зі змінами, внесеними згідно з</w:t>
            </w:r>
          </w:p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i/>
                <w:iCs/>
                <w:color w:val="101010"/>
                <w:sz w:val="28"/>
                <w:szCs w:val="28"/>
                <w:lang w:eastAsia="uk-UA"/>
              </w:rPr>
              <w:t>рішенням обласної ради:</w:t>
            </w:r>
            <w:r w:rsidRPr="00F3001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uk-UA"/>
              </w:rPr>
              <w:t>                                           </w:t>
            </w:r>
          </w:p>
          <w:p w:rsidR="00F3001D" w:rsidRPr="00F3001D" w:rsidRDefault="00F3001D" w:rsidP="00F3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uk-UA"/>
              </w:rPr>
              <w:t>   </w:t>
            </w:r>
            <w:hyperlink r:id="rId6" w:tgtFrame="_blank" w:history="1">
              <w:r w:rsidRPr="00F3001D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uk-UA"/>
                </w:rPr>
                <w:t>від 27.05.2021 № 141</w:t>
              </w:r>
              <w:r w:rsidRPr="00F3001D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 </w:t>
              </w:r>
            </w:hyperlink>
          </w:p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hyperlink r:id="rId7" w:tgtFrame="_blank" w:history="1">
              <w:r w:rsidRPr="00F3001D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uk-UA"/>
                </w:rPr>
                <w:t>від 16.03.2023 № 505</w:t>
              </w:r>
            </w:hyperlink>
          </w:p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  </w:t>
            </w:r>
            <w:hyperlink r:id="rId8" w:tgtFrame="_blank" w:history="1">
              <w:r w:rsidRPr="00F3001D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uk-UA"/>
                </w:rPr>
                <w:t>від 16.03.2023 № 506</w:t>
              </w:r>
            </w:hyperlink>
          </w:p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  </w:t>
            </w:r>
            <w:hyperlink r:id="rId9" w:tgtFrame="_blank" w:history="1">
              <w:r w:rsidRPr="00F3001D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uk-UA"/>
                </w:rPr>
                <w:t>від 16.03.2023 № 507</w:t>
              </w:r>
            </w:hyperlink>
          </w:p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00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hyperlink r:id="rId10" w:tgtFrame="_blank" w:history="1">
              <w:r w:rsidRPr="00F3001D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uk-UA"/>
                </w:rPr>
                <w:t>від 27.04.2023 № 543</w:t>
              </w:r>
            </w:hyperlink>
          </w:p>
          <w:p w:rsid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" w:tgtFrame="_blank" w:history="1">
              <w:r w:rsidRPr="00F3001D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uk-UA"/>
                </w:rPr>
                <w:t>  від 17.08.2023 № 600 </w:t>
              </w:r>
            </w:hyperlink>
          </w:p>
          <w:p w:rsidR="00F3001D" w:rsidRPr="00F3001D" w:rsidRDefault="00F3001D" w:rsidP="00F3001D">
            <w:pPr>
              <w:spacing w:after="144" w:line="240" w:lineRule="auto"/>
              <w:rPr>
                <w:rFonts w:ascii="Times New Roman" w:eastAsia="Times New Roman" w:hAnsi="Times New Roman" w:cs="Times New Roman"/>
                <w:i/>
                <w:color w:val="10101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 </w:t>
            </w:r>
            <w:r w:rsidRPr="00F30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від 26.09.2024 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F30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809</w:t>
            </w:r>
          </w:p>
        </w:tc>
      </w:tr>
    </w:tbl>
    <w:p w:rsid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 </w:t>
      </w: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 xml:space="preserve">Відповідно до законів України </w:t>
      </w:r>
      <w:proofErr w:type="spellStart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“Про</w:t>
      </w:r>
      <w:proofErr w:type="spellEnd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Україні”</w:t>
      </w:r>
      <w:proofErr w:type="spellEnd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 xml:space="preserve">, </w:t>
      </w:r>
      <w:proofErr w:type="spellStart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“Про</w:t>
      </w:r>
      <w:proofErr w:type="spellEnd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 xml:space="preserve"> приватизацію державного і комунального </w:t>
      </w:r>
      <w:proofErr w:type="spellStart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майна”</w:t>
      </w:r>
      <w:proofErr w:type="spellEnd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, враховуючи рекомендації постійної комісії обласної ради з питань бюджету і комунальної власності від 22.06.2020, обласна рада</w:t>
      </w: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ВИРІШИЛА:</w:t>
      </w:r>
    </w:p>
    <w:p w:rsidR="00F3001D" w:rsidRPr="00F3001D" w:rsidRDefault="00F3001D" w:rsidP="00F30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Затвердити переліки об’єктів спільної власності територіальних громад сіл, селищ, міст області, які підлягають приватизації, згідно з додатками 1, 2.</w:t>
      </w:r>
    </w:p>
    <w:p w:rsidR="00F3001D" w:rsidRPr="00F3001D" w:rsidRDefault="00F3001D" w:rsidP="00F300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По кожному запропонованому до приватизації об’єкту приймати окреме рішення обласної ради після з’ясування і документального підтвердження інформації, необхідної для проведення приватизації об’єктів спільної власності територіальних громад сіл, селищ, міст області.</w:t>
      </w:r>
    </w:p>
    <w:p w:rsidR="00F3001D" w:rsidRPr="00F3001D" w:rsidRDefault="00F3001D" w:rsidP="00F300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 xml:space="preserve">Комунальним підприємствам, установам – </w:t>
      </w:r>
      <w:proofErr w:type="spellStart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балансоутримувачам</w:t>
      </w:r>
      <w:proofErr w:type="spellEnd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 xml:space="preserve"> об’єктів спільної власності територіальних громад сіл, селищ, міст області, які підлягають приватизації, забезпечувати підготовку всієї необхідної інформації та документів для продажу об’єктів спільної власності територіальних громад сіл, селищ, міст області.</w:t>
      </w:r>
    </w:p>
    <w:p w:rsidR="00F3001D" w:rsidRPr="00F3001D" w:rsidRDefault="00F3001D" w:rsidP="00F300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lastRenderedPageBreak/>
        <w:t xml:space="preserve">Визнати таким, що втратило чинність, рішення обласної ради від 31.05.2018 № 1071 </w:t>
      </w:r>
      <w:proofErr w:type="spellStart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“Про</w:t>
      </w:r>
      <w:proofErr w:type="spellEnd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 xml:space="preserve"> затвердження переліків об’єктів спільної власності територіальних громад сіл, селищ, міст області, які підлягають </w:t>
      </w:r>
      <w:proofErr w:type="spellStart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приватизації”</w:t>
      </w:r>
      <w:proofErr w:type="spellEnd"/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, зі змінами, внесеними рішеннями обласної ради від 12.11.2019 № 1670, від 18.12.2019 № 1789.</w:t>
      </w:r>
    </w:p>
    <w:p w:rsidR="00F3001D" w:rsidRPr="00F3001D" w:rsidRDefault="00F3001D" w:rsidP="00F300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Контроль за виконанням рішення покласти на постійну комісію обласної ради з питань бюджету і комунальної власності.</w:t>
      </w: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 </w:t>
      </w: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 </w:t>
      </w:r>
    </w:p>
    <w:p w:rsidR="00F3001D" w:rsidRPr="00F3001D" w:rsidRDefault="00F3001D" w:rsidP="00F3001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3001D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Голова обласної ради                                                                             В.В. Ширма</w:t>
      </w:r>
    </w:p>
    <w:p w:rsidR="005619B8" w:rsidRDefault="005619B8"/>
    <w:sectPr w:rsidR="005619B8" w:rsidSect="00561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3B7"/>
    <w:multiLevelType w:val="multilevel"/>
    <w:tmpl w:val="311A1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19B4"/>
    <w:multiLevelType w:val="multilevel"/>
    <w:tmpl w:val="8214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F185F"/>
    <w:multiLevelType w:val="multilevel"/>
    <w:tmpl w:val="6E04F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D2616"/>
    <w:multiLevelType w:val="multilevel"/>
    <w:tmpl w:val="CB82F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B0F98"/>
    <w:multiLevelType w:val="multilevel"/>
    <w:tmpl w:val="ECCE3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01D"/>
    <w:rsid w:val="005619B8"/>
    <w:rsid w:val="00F3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001D"/>
    <w:rPr>
      <w:b/>
      <w:bCs/>
    </w:rPr>
  </w:style>
  <w:style w:type="character" w:styleId="a5">
    <w:name w:val="Emphasis"/>
    <w:basedOn w:val="a0"/>
    <w:uiPriority w:val="20"/>
    <w:qFormat/>
    <w:rsid w:val="00F3001D"/>
    <w:rPr>
      <w:i/>
      <w:iCs/>
    </w:rPr>
  </w:style>
  <w:style w:type="character" w:styleId="a6">
    <w:name w:val="Hyperlink"/>
    <w:basedOn w:val="a0"/>
    <w:uiPriority w:val="99"/>
    <w:semiHidden/>
    <w:unhideWhenUsed/>
    <w:rsid w:val="00F300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zt.gov.ua/index.php/8-sklikannya/rishennia/18317-no-506-pro-vnesennia-zmin-u-rishennia-zhytomyrskoi-oblasnoi-rady-vid-25-06-2020-no-1963-pro-zatverdzhennia-perelikiv-obiektiv-spilnoi-vlasnosti-terytorialnykh-hromad-sil-selyshch-mist-oblasti-iaki-pidliahaiut-pryvatyzatsii-zi-zminamy-mainovyi-kompleks-za-adres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.zt.gov.ua/index.php/8-sklikannya/rishennia/18318-no-505-pro-vnesennia-zmin-u-rishennia-zhytomyrskoi-oblasnoi-rady-vid-25-06-2020-no-1963-pro-zatverdzhennia-perelikiv-obiektiv-spilnoi-vlasnosti-terytorialnykh-hromad-sil-selyshch-mist-oblasti-iaki-pidliahaiut-pryvatyzatsii-zi-zminamy-obiekty-nerukhomoho-maina-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zt.gov.ua/index.php/8-sklikannya/rishennia/18969-no-141-pro-vnesennia-zmin-u-rishennia-oblasnoi-rady-vid-25-06-2020-no-1963-pro-zatverdzhennia-perelikiv-obiektiv-spilnoi-vlasnosti-terytorialnykh-hromad-sil-selyshch-mist-oblasti-iaki-pidliahaiut-pryvatyzatsii" TargetMode="External"/><Relationship Id="rId11" Type="http://schemas.openxmlformats.org/officeDocument/2006/relationships/hyperlink" Target="https://doc.zt.gov.ua/index.php/8-sklikannya/rishennia/19268-no-600-pro-vnesennia-zmin-u-rishennia-zhytomyrskoi-oblasnoi-rady-vid-25062020-no-1963-pro-zatverdzhennia-perelikiv-obiektiv-spilnoi-vlasnosti-terytorialnykh-hromad-sil-selyshch-mist-oblasti-iaki-pidliahaiut-pryvatyzatsii-zi-zminamy-prymishchennia-hoteliu-ukraina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doc.zt.gov.ua/index.php/8-sklikannya/rishennia/19209-no-543-pro-vnesennia-zmin-u-rishennia-zhytomyrskoi-oblasnoi-rady-vid-25062020-no-1963-pro-zatverdzhennia-perelikiv-obiektiv-spilnoi-vlasnosti-terytorialnykh-hromad-sil-selyshch-mist-oblasti-iaki-pidliahaiut-pryvatyzatsii-zi-zmina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zt.gov.ua/index.php/8-sklikannya/rishennia/18316-no-507-pro-vnesennia-zmin-u-rishennia-zhytomyrskoi-oblasnoi-rady-vid-25-06-2020-no-1963-pro-zatverdzhennia-perelikiv-obiektiv-spilnoi-vlasnosti-terytorialnykh-hromad-sil-selyshch-mist-oblasti-iaki-pidliahaiut-pryvatyzatsii-zi-zminamy-mainovyi-kompleks-za-adre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2628</Words>
  <Characters>1498</Characters>
  <Application>Microsoft Office Word</Application>
  <DocSecurity>0</DocSecurity>
  <Lines>12</Lines>
  <Paragraphs>8</Paragraphs>
  <ScaleCrop>false</ScaleCrop>
  <Company>HP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Гринько</dc:creator>
  <cp:keywords/>
  <dc:description/>
  <cp:lastModifiedBy>Степан Гринько</cp:lastModifiedBy>
  <cp:revision>2</cp:revision>
  <dcterms:created xsi:type="dcterms:W3CDTF">2024-09-30T12:40:00Z</dcterms:created>
  <dcterms:modified xsi:type="dcterms:W3CDTF">2024-09-30T12:43:00Z</dcterms:modified>
</cp:coreProperties>
</file>