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65" w:rsidRDefault="00C64B65" w:rsidP="00592FCC">
      <w:pPr>
        <w:ind w:left="4820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C64B65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аціональна</w:t>
      </w:r>
      <w:r w:rsidRPr="00C64B6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комісія, що здійснює державне регулювання у сферах енергетики та комунальних послуг</w:t>
      </w:r>
    </w:p>
    <w:p w:rsidR="00C23B25" w:rsidRDefault="00C23B25" w:rsidP="00592FCC">
      <w:pPr>
        <w:ind w:left="4820"/>
        <w:jc w:val="both"/>
        <w:rPr>
          <w:sz w:val="28"/>
          <w:szCs w:val="28"/>
        </w:rPr>
      </w:pPr>
    </w:p>
    <w:p w:rsidR="00EF1A8E" w:rsidRDefault="00C64B65" w:rsidP="00C64B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Звернення</w:t>
      </w:r>
    </w:p>
    <w:p w:rsidR="00C64B65" w:rsidRDefault="00C64B65" w:rsidP="00C64B65">
      <w:pPr>
        <w:ind w:firstLine="709"/>
        <w:jc w:val="center"/>
        <w:rPr>
          <w:b/>
          <w:sz w:val="28"/>
          <w:szCs w:val="28"/>
          <w:lang w:eastAsia="ru-RU"/>
        </w:rPr>
      </w:pPr>
      <w:r w:rsidRPr="00C64B65">
        <w:rPr>
          <w:b/>
          <w:sz w:val="28"/>
          <w:szCs w:val="28"/>
        </w:rPr>
        <w:t xml:space="preserve">депутатів обласної ради </w:t>
      </w:r>
      <w:r w:rsidR="00080C9F">
        <w:rPr>
          <w:b/>
          <w:sz w:val="28"/>
          <w:szCs w:val="28"/>
        </w:rPr>
        <w:t xml:space="preserve">до </w:t>
      </w:r>
      <w:r w:rsidR="00080C9F" w:rsidRPr="00C64B65">
        <w:rPr>
          <w:b/>
          <w:sz w:val="28"/>
          <w:szCs w:val="28"/>
          <w:lang w:eastAsia="ru-RU"/>
        </w:rPr>
        <w:t>НКРЕКП</w:t>
      </w:r>
      <w:r w:rsidR="00080C9F">
        <w:rPr>
          <w:b/>
          <w:sz w:val="28"/>
          <w:szCs w:val="28"/>
          <w:lang w:eastAsia="ru-RU"/>
        </w:rPr>
        <w:t xml:space="preserve"> щодо внесення змін у </w:t>
      </w:r>
      <w:r w:rsidR="001900DA">
        <w:rPr>
          <w:b/>
          <w:sz w:val="28"/>
          <w:szCs w:val="28"/>
          <w:lang w:eastAsia="ru-RU"/>
        </w:rPr>
        <w:t>п</w:t>
      </w:r>
      <w:r w:rsidRPr="00C64B65">
        <w:rPr>
          <w:b/>
          <w:sz w:val="28"/>
          <w:szCs w:val="28"/>
          <w:lang w:eastAsia="ru-RU"/>
        </w:rPr>
        <w:t>останов</w:t>
      </w:r>
      <w:r w:rsidR="00080C9F">
        <w:rPr>
          <w:b/>
          <w:sz w:val="28"/>
          <w:szCs w:val="28"/>
          <w:lang w:eastAsia="ru-RU"/>
        </w:rPr>
        <w:t>у</w:t>
      </w:r>
      <w:r w:rsidRPr="00C64B65">
        <w:rPr>
          <w:b/>
          <w:sz w:val="28"/>
          <w:szCs w:val="28"/>
          <w:lang w:eastAsia="ru-RU"/>
        </w:rPr>
        <w:t xml:space="preserve"> НКРЕКП від 30.09.2015 № 2494 «Про затвердження Кодексу газорозподільних систем»</w:t>
      </w:r>
      <w:r w:rsidR="00080C9F">
        <w:rPr>
          <w:b/>
          <w:sz w:val="28"/>
          <w:szCs w:val="28"/>
          <w:lang w:eastAsia="ru-RU"/>
        </w:rPr>
        <w:t>, зі змінами</w:t>
      </w:r>
      <w:r w:rsidR="001900DA">
        <w:rPr>
          <w:b/>
          <w:sz w:val="28"/>
          <w:szCs w:val="28"/>
          <w:lang w:eastAsia="ru-RU"/>
        </w:rPr>
        <w:t xml:space="preserve">                           </w:t>
      </w:r>
    </w:p>
    <w:p w:rsidR="002F3893" w:rsidRDefault="00C64B65" w:rsidP="00C64B6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Ми, депутати Житомирської обласної ради, </w:t>
      </w:r>
      <w:r w:rsidR="00B765C0">
        <w:rPr>
          <w:sz w:val="28"/>
          <w:szCs w:val="28"/>
          <w:lang w:eastAsia="ru-RU"/>
        </w:rPr>
        <w:t xml:space="preserve">вкрай стурбовані ситуацією, </w:t>
      </w:r>
      <w:r w:rsidR="00D36D6A">
        <w:rPr>
          <w:sz w:val="28"/>
          <w:szCs w:val="28"/>
          <w:lang w:eastAsia="ru-RU"/>
        </w:rPr>
        <w:t>що</w:t>
      </w:r>
      <w:r w:rsidR="00B765C0">
        <w:rPr>
          <w:sz w:val="28"/>
          <w:szCs w:val="28"/>
          <w:lang w:eastAsia="ru-RU"/>
        </w:rPr>
        <w:t xml:space="preserve"> склалася </w:t>
      </w:r>
      <w:r w:rsidR="00D36D6A">
        <w:rPr>
          <w:sz w:val="28"/>
          <w:szCs w:val="28"/>
          <w:lang w:eastAsia="ru-RU"/>
        </w:rPr>
        <w:t xml:space="preserve">у зв’язку </w:t>
      </w:r>
      <w:r w:rsidR="00B765C0">
        <w:rPr>
          <w:sz w:val="28"/>
          <w:szCs w:val="28"/>
          <w:lang w:eastAsia="ru-RU"/>
        </w:rPr>
        <w:t>з</w:t>
      </w:r>
      <w:r w:rsidR="001900DA">
        <w:rPr>
          <w:sz w:val="28"/>
          <w:szCs w:val="28"/>
          <w:lang w:eastAsia="ru-RU"/>
        </w:rPr>
        <w:t>і</w:t>
      </w:r>
      <w:r w:rsidR="00B765C0">
        <w:rPr>
          <w:sz w:val="28"/>
          <w:szCs w:val="28"/>
          <w:lang w:eastAsia="ru-RU"/>
        </w:rPr>
        <w:t xml:space="preserve"> збільшенням фінансового навантаження</w:t>
      </w:r>
      <w:r w:rsidR="0018260B">
        <w:rPr>
          <w:sz w:val="28"/>
          <w:szCs w:val="28"/>
          <w:lang w:eastAsia="ru-RU"/>
        </w:rPr>
        <w:t xml:space="preserve"> на представник</w:t>
      </w:r>
      <w:r w:rsidR="0073214B">
        <w:rPr>
          <w:sz w:val="28"/>
          <w:szCs w:val="28"/>
          <w:lang w:eastAsia="ru-RU"/>
        </w:rPr>
        <w:t xml:space="preserve">ів малого та середнього бізнесу </w:t>
      </w:r>
      <w:r w:rsidR="00D36D6A">
        <w:rPr>
          <w:sz w:val="28"/>
          <w:szCs w:val="28"/>
          <w:lang w:eastAsia="ru-RU"/>
        </w:rPr>
        <w:t>через необхідність</w:t>
      </w:r>
      <w:r w:rsidR="0073214B">
        <w:rPr>
          <w:sz w:val="28"/>
          <w:szCs w:val="28"/>
          <w:lang w:eastAsia="ru-RU"/>
        </w:rPr>
        <w:t xml:space="preserve"> придбання та встановлення додаткового обладнання</w:t>
      </w:r>
      <w:r w:rsidR="00B2320B" w:rsidRPr="00B2320B">
        <w:rPr>
          <w:sz w:val="28"/>
          <w:szCs w:val="28"/>
          <w:lang w:eastAsia="ru-RU"/>
        </w:rPr>
        <w:t xml:space="preserve"> </w:t>
      </w:r>
      <w:r w:rsidR="00B2320B">
        <w:rPr>
          <w:sz w:val="28"/>
          <w:szCs w:val="28"/>
          <w:lang w:eastAsia="ru-RU"/>
        </w:rPr>
        <w:t xml:space="preserve">до </w:t>
      </w:r>
      <w:r w:rsidR="00B2320B" w:rsidRPr="0036412E">
        <w:rPr>
          <w:sz w:val="28"/>
          <w:szCs w:val="28"/>
          <w:lang w:eastAsia="ru-RU"/>
        </w:rPr>
        <w:t>комерційних вузлів обліку природного газу</w:t>
      </w:r>
      <w:r w:rsidR="00D01D89">
        <w:rPr>
          <w:sz w:val="28"/>
          <w:szCs w:val="28"/>
          <w:lang w:eastAsia="ru-RU"/>
        </w:rPr>
        <w:t xml:space="preserve">, а відтак </w:t>
      </w:r>
      <w:r w:rsidR="001900DA">
        <w:rPr>
          <w:sz w:val="28"/>
          <w:szCs w:val="28"/>
          <w:lang w:eastAsia="ru-RU"/>
        </w:rPr>
        <w:t xml:space="preserve">- </w:t>
      </w:r>
      <w:r w:rsidR="00B2320B">
        <w:rPr>
          <w:sz w:val="28"/>
          <w:szCs w:val="28"/>
          <w:lang w:eastAsia="ru-RU"/>
        </w:rPr>
        <w:t xml:space="preserve">виникнення додаткових </w:t>
      </w:r>
      <w:proofErr w:type="spellStart"/>
      <w:r w:rsidR="00B2320B">
        <w:rPr>
          <w:sz w:val="28"/>
          <w:szCs w:val="28"/>
          <w:lang w:eastAsia="ru-RU"/>
        </w:rPr>
        <w:t>конфліктогенних</w:t>
      </w:r>
      <w:proofErr w:type="spellEnd"/>
      <w:r w:rsidR="00B2320B">
        <w:rPr>
          <w:sz w:val="28"/>
          <w:szCs w:val="28"/>
          <w:lang w:eastAsia="ru-RU"/>
        </w:rPr>
        <w:t xml:space="preserve"> чинників, які підвищують ризики виникнення осередків соціального напруження та ускладнення </w:t>
      </w:r>
      <w:r w:rsidR="001900DA">
        <w:rPr>
          <w:sz w:val="28"/>
          <w:szCs w:val="28"/>
          <w:lang w:eastAsia="ru-RU"/>
        </w:rPr>
        <w:t>суспільно-політичної і</w:t>
      </w:r>
      <w:r w:rsidR="00D01D89">
        <w:rPr>
          <w:sz w:val="28"/>
          <w:szCs w:val="28"/>
          <w:lang w:eastAsia="ru-RU"/>
        </w:rPr>
        <w:t xml:space="preserve"> соціально-економічної обстановки в області</w:t>
      </w:r>
      <w:r w:rsidR="0073214B">
        <w:rPr>
          <w:sz w:val="28"/>
          <w:szCs w:val="28"/>
          <w:lang w:eastAsia="ru-RU"/>
        </w:rPr>
        <w:t>.</w:t>
      </w:r>
    </w:p>
    <w:p w:rsidR="0036412E" w:rsidRDefault="0018260B" w:rsidP="0073214B">
      <w:pPr>
        <w:ind w:firstLine="709"/>
        <w:jc w:val="both"/>
        <w:rPr>
          <w:sz w:val="28"/>
          <w:szCs w:val="28"/>
          <w:lang w:eastAsia="ru-RU"/>
        </w:rPr>
      </w:pPr>
      <w:r w:rsidRPr="0036412E">
        <w:rPr>
          <w:sz w:val="28"/>
          <w:szCs w:val="28"/>
          <w:lang w:eastAsia="ru-RU"/>
        </w:rPr>
        <w:t xml:space="preserve">30 вересня </w:t>
      </w:r>
      <w:r w:rsidR="0073214B" w:rsidRPr="0036412E">
        <w:rPr>
          <w:sz w:val="28"/>
          <w:szCs w:val="28"/>
          <w:lang w:eastAsia="ru-RU"/>
        </w:rPr>
        <w:t xml:space="preserve">2015 року постановою </w:t>
      </w:r>
      <w:r w:rsidR="001900DA">
        <w:rPr>
          <w:sz w:val="28"/>
          <w:szCs w:val="28"/>
          <w:lang w:eastAsia="ru-RU"/>
        </w:rPr>
        <w:t>НКРЕКП</w:t>
      </w:r>
      <w:r w:rsidRPr="0036412E">
        <w:rPr>
          <w:sz w:val="28"/>
          <w:szCs w:val="28"/>
          <w:lang w:eastAsia="ru-RU"/>
        </w:rPr>
        <w:t xml:space="preserve"> № 2494 </w:t>
      </w:r>
      <w:r w:rsidR="0073214B" w:rsidRPr="0036412E">
        <w:rPr>
          <w:sz w:val="28"/>
          <w:szCs w:val="28"/>
          <w:lang w:eastAsia="ru-RU"/>
        </w:rPr>
        <w:t>«Про затвердження Кодексу газорозподільних систем»</w:t>
      </w:r>
      <w:r w:rsidR="00BF07A1">
        <w:rPr>
          <w:sz w:val="28"/>
          <w:szCs w:val="28"/>
          <w:lang w:eastAsia="ru-RU"/>
        </w:rPr>
        <w:t>,</w:t>
      </w:r>
      <w:r w:rsidR="0073214B" w:rsidRPr="0036412E">
        <w:rPr>
          <w:sz w:val="28"/>
          <w:szCs w:val="28"/>
          <w:lang w:eastAsia="ru-RU"/>
        </w:rPr>
        <w:t xml:space="preserve"> </w:t>
      </w:r>
      <w:r w:rsidR="0036412E">
        <w:rPr>
          <w:sz w:val="28"/>
          <w:szCs w:val="28"/>
          <w:lang w:eastAsia="ru-RU"/>
        </w:rPr>
        <w:t>в</w:t>
      </w:r>
      <w:r w:rsidR="0036412E" w:rsidRPr="0036412E">
        <w:rPr>
          <w:sz w:val="28"/>
          <w:szCs w:val="28"/>
          <w:lang w:eastAsia="ru-RU"/>
        </w:rPr>
        <w:t>ласник</w:t>
      </w:r>
      <w:r w:rsidR="0036412E">
        <w:rPr>
          <w:sz w:val="28"/>
          <w:szCs w:val="28"/>
          <w:lang w:eastAsia="ru-RU"/>
        </w:rPr>
        <w:t>ів</w:t>
      </w:r>
      <w:r w:rsidR="0036412E" w:rsidRPr="0036412E">
        <w:rPr>
          <w:sz w:val="28"/>
          <w:szCs w:val="28"/>
          <w:lang w:eastAsia="ru-RU"/>
        </w:rPr>
        <w:t xml:space="preserve"> комерційних вузлів обліку природного газу (крім комерційних вузлів обліку, які використовуються в побуті) </w:t>
      </w:r>
      <w:r w:rsidR="00EB5321" w:rsidRPr="0036412E">
        <w:rPr>
          <w:sz w:val="28"/>
          <w:szCs w:val="28"/>
          <w:lang w:eastAsia="ru-RU"/>
        </w:rPr>
        <w:t>зобов’язано</w:t>
      </w:r>
      <w:r w:rsidR="00EB5321" w:rsidRPr="0073214B">
        <w:rPr>
          <w:sz w:val="28"/>
          <w:szCs w:val="28"/>
          <w:lang w:eastAsia="ru-RU"/>
        </w:rPr>
        <w:t xml:space="preserve"> </w:t>
      </w:r>
      <w:r w:rsidR="00EB5321" w:rsidRPr="0036412E">
        <w:rPr>
          <w:sz w:val="28"/>
          <w:szCs w:val="28"/>
          <w:lang w:eastAsia="ru-RU"/>
        </w:rPr>
        <w:t xml:space="preserve">протягом двох років та шести місяців </w:t>
      </w:r>
      <w:r w:rsidR="0036412E" w:rsidRPr="0036412E">
        <w:rPr>
          <w:sz w:val="28"/>
          <w:szCs w:val="28"/>
          <w:lang w:eastAsia="ru-RU"/>
        </w:rPr>
        <w:t>забезпечити облаштування засобами дистанційної передачі даних власні комерційні вузли обліку</w:t>
      </w:r>
      <w:r w:rsidR="0036412E">
        <w:rPr>
          <w:sz w:val="28"/>
          <w:szCs w:val="28"/>
          <w:lang w:eastAsia="ru-RU"/>
        </w:rPr>
        <w:t xml:space="preserve">, </w:t>
      </w:r>
      <w:r w:rsidR="0036412E" w:rsidRPr="0036412E">
        <w:rPr>
          <w:sz w:val="28"/>
          <w:szCs w:val="28"/>
          <w:lang w:eastAsia="ru-RU"/>
        </w:rPr>
        <w:t xml:space="preserve">річний обсяг обліку природного газу яких менше 10 тис. </w:t>
      </w:r>
      <w:r w:rsidR="0036412E">
        <w:rPr>
          <w:sz w:val="28"/>
          <w:szCs w:val="28"/>
          <w:lang w:eastAsia="ru-RU"/>
        </w:rPr>
        <w:t>метрів кубічних</w:t>
      </w:r>
      <w:r w:rsidR="0036412E" w:rsidRPr="0036412E">
        <w:rPr>
          <w:sz w:val="28"/>
          <w:szCs w:val="28"/>
          <w:lang w:eastAsia="ru-RU"/>
        </w:rPr>
        <w:t>.</w:t>
      </w:r>
    </w:p>
    <w:p w:rsidR="0018260B" w:rsidRDefault="0073214B" w:rsidP="002A5A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="0018260B">
        <w:rPr>
          <w:sz w:val="28"/>
          <w:szCs w:val="28"/>
          <w:lang w:eastAsia="ru-RU"/>
        </w:rPr>
        <w:t xml:space="preserve"> даний час всі підприємства забезпечені засобами обліку газу.</w:t>
      </w:r>
      <w:r w:rsidR="00EB5321">
        <w:rPr>
          <w:sz w:val="28"/>
          <w:szCs w:val="28"/>
          <w:lang w:eastAsia="ru-RU"/>
        </w:rPr>
        <w:t xml:space="preserve"> Разом </w:t>
      </w:r>
      <w:r w:rsidR="002F403A">
        <w:rPr>
          <w:sz w:val="28"/>
          <w:szCs w:val="28"/>
          <w:lang w:eastAsia="ru-RU"/>
        </w:rPr>
        <w:t>і</w:t>
      </w:r>
      <w:r w:rsidR="00EB5321">
        <w:rPr>
          <w:sz w:val="28"/>
          <w:szCs w:val="28"/>
          <w:lang w:eastAsia="ru-RU"/>
        </w:rPr>
        <w:t xml:space="preserve">з тим, вартість встановлення </w:t>
      </w:r>
      <w:r w:rsidR="0018260B">
        <w:rPr>
          <w:sz w:val="28"/>
          <w:szCs w:val="28"/>
          <w:lang w:eastAsia="ru-RU"/>
        </w:rPr>
        <w:t>додаткового обладнання складає від 23 тис.</w:t>
      </w:r>
      <w:r w:rsidR="00EB5321">
        <w:rPr>
          <w:sz w:val="28"/>
          <w:szCs w:val="28"/>
          <w:lang w:eastAsia="ru-RU"/>
        </w:rPr>
        <w:t xml:space="preserve"> </w:t>
      </w:r>
      <w:r w:rsidR="0018260B">
        <w:rPr>
          <w:sz w:val="28"/>
          <w:szCs w:val="28"/>
          <w:lang w:eastAsia="ru-RU"/>
        </w:rPr>
        <w:t>грн до 100 тис.</w:t>
      </w:r>
      <w:r w:rsidR="00EB5321">
        <w:rPr>
          <w:sz w:val="28"/>
          <w:szCs w:val="28"/>
          <w:lang w:eastAsia="ru-RU"/>
        </w:rPr>
        <w:t xml:space="preserve"> </w:t>
      </w:r>
      <w:proofErr w:type="spellStart"/>
      <w:r w:rsidR="0018260B">
        <w:rPr>
          <w:sz w:val="28"/>
          <w:szCs w:val="28"/>
          <w:lang w:eastAsia="ru-RU"/>
        </w:rPr>
        <w:t>грн</w:t>
      </w:r>
      <w:proofErr w:type="spellEnd"/>
      <w:r w:rsidR="001826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="00C23B25">
        <w:rPr>
          <w:sz w:val="28"/>
          <w:szCs w:val="28"/>
          <w:lang w:eastAsia="ru-RU"/>
        </w:rPr>
        <w:t>залежно</w:t>
      </w:r>
      <w:r w:rsidR="002A5A8E">
        <w:rPr>
          <w:sz w:val="28"/>
          <w:szCs w:val="28"/>
          <w:lang w:eastAsia="ru-RU"/>
        </w:rPr>
        <w:t xml:space="preserve"> від кількості вводів</w:t>
      </w:r>
      <w:r>
        <w:rPr>
          <w:sz w:val="28"/>
          <w:szCs w:val="28"/>
          <w:lang w:eastAsia="ru-RU"/>
        </w:rPr>
        <w:t>)</w:t>
      </w:r>
      <w:r w:rsidR="002A5A8E">
        <w:rPr>
          <w:sz w:val="28"/>
          <w:szCs w:val="28"/>
          <w:lang w:eastAsia="ru-RU"/>
        </w:rPr>
        <w:t xml:space="preserve">, що </w:t>
      </w:r>
      <w:r w:rsidR="00EB5321">
        <w:rPr>
          <w:sz w:val="28"/>
          <w:szCs w:val="28"/>
          <w:lang w:eastAsia="ru-RU"/>
        </w:rPr>
        <w:t>для вказаної категорії в</w:t>
      </w:r>
      <w:r w:rsidR="00EB5321" w:rsidRPr="0036412E">
        <w:rPr>
          <w:sz w:val="28"/>
          <w:szCs w:val="28"/>
          <w:lang w:eastAsia="ru-RU"/>
        </w:rPr>
        <w:t>ласник</w:t>
      </w:r>
      <w:r w:rsidR="00EB5321">
        <w:rPr>
          <w:sz w:val="28"/>
          <w:szCs w:val="28"/>
          <w:lang w:eastAsia="ru-RU"/>
        </w:rPr>
        <w:t>ів</w:t>
      </w:r>
      <w:r w:rsidR="00EB5321" w:rsidRPr="0036412E">
        <w:rPr>
          <w:sz w:val="28"/>
          <w:szCs w:val="28"/>
          <w:lang w:eastAsia="ru-RU"/>
        </w:rPr>
        <w:t xml:space="preserve"> комерційних вузлів обліку природного газу</w:t>
      </w:r>
      <w:r w:rsidR="0018260B">
        <w:rPr>
          <w:sz w:val="28"/>
          <w:szCs w:val="28"/>
          <w:lang w:eastAsia="ru-RU"/>
        </w:rPr>
        <w:t xml:space="preserve"> є </w:t>
      </w:r>
      <w:r w:rsidR="00EB5321">
        <w:rPr>
          <w:sz w:val="28"/>
          <w:szCs w:val="28"/>
          <w:lang w:eastAsia="ru-RU"/>
        </w:rPr>
        <w:t>непомірним</w:t>
      </w:r>
      <w:r w:rsidR="002A5A8E">
        <w:rPr>
          <w:sz w:val="28"/>
          <w:szCs w:val="28"/>
          <w:lang w:eastAsia="ru-RU"/>
        </w:rPr>
        <w:t xml:space="preserve"> фінансовим</w:t>
      </w:r>
      <w:r w:rsidR="0018260B">
        <w:rPr>
          <w:sz w:val="28"/>
          <w:szCs w:val="28"/>
          <w:lang w:eastAsia="ru-RU"/>
        </w:rPr>
        <w:t xml:space="preserve"> </w:t>
      </w:r>
      <w:r w:rsidR="00EB5321">
        <w:rPr>
          <w:sz w:val="28"/>
          <w:szCs w:val="28"/>
          <w:lang w:eastAsia="ru-RU"/>
        </w:rPr>
        <w:t>тягарем</w:t>
      </w:r>
      <w:r w:rsidR="0018260B">
        <w:rPr>
          <w:sz w:val="28"/>
          <w:szCs w:val="28"/>
          <w:lang w:eastAsia="ru-RU"/>
        </w:rPr>
        <w:t>.</w:t>
      </w:r>
    </w:p>
    <w:p w:rsidR="00B20942" w:rsidRDefault="00B20942" w:rsidP="002A5A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огляду на викладене:</w:t>
      </w:r>
    </w:p>
    <w:p w:rsidR="00665E12" w:rsidRPr="00D36D6A" w:rsidRDefault="00AC3B91" w:rsidP="00665E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в</w:t>
      </w:r>
      <w:r w:rsidR="00665E12">
        <w:rPr>
          <w:sz w:val="28"/>
          <w:szCs w:val="28"/>
          <w:lang w:eastAsia="ru-RU"/>
        </w:rPr>
        <w:t>раховуючи д</w:t>
      </w:r>
      <w:r w:rsidR="00665E12" w:rsidRPr="00833534">
        <w:rPr>
          <w:rFonts w:eastAsia="Calibri"/>
          <w:bCs/>
          <w:sz w:val="28"/>
          <w:szCs w:val="28"/>
          <w:lang w:eastAsia="en-US"/>
        </w:rPr>
        <w:t>инамічні зміни у суспільно-політичній та соціально-економічній обстановці України, потреб</w:t>
      </w:r>
      <w:r w:rsidR="00665E12">
        <w:rPr>
          <w:rFonts w:eastAsia="Calibri"/>
          <w:bCs/>
          <w:sz w:val="28"/>
          <w:szCs w:val="28"/>
          <w:lang w:eastAsia="en-US"/>
        </w:rPr>
        <w:t>у</w:t>
      </w:r>
      <w:r w:rsidR="00665E12" w:rsidRPr="00833534">
        <w:rPr>
          <w:rFonts w:eastAsia="Calibri"/>
          <w:bCs/>
          <w:sz w:val="28"/>
          <w:szCs w:val="28"/>
          <w:lang w:eastAsia="en-US"/>
        </w:rPr>
        <w:t xml:space="preserve"> суспільства у такому законодавстві, яке адекватно відбивало б ці потреби, гостр</w:t>
      </w:r>
      <w:r w:rsidR="00665E12">
        <w:rPr>
          <w:rFonts w:eastAsia="Calibri"/>
          <w:bCs/>
          <w:sz w:val="28"/>
          <w:szCs w:val="28"/>
          <w:lang w:eastAsia="en-US"/>
        </w:rPr>
        <w:t>у</w:t>
      </w:r>
      <w:r w:rsidR="00665E12" w:rsidRPr="00833534">
        <w:rPr>
          <w:rFonts w:eastAsia="Calibri"/>
          <w:bCs/>
          <w:sz w:val="28"/>
          <w:szCs w:val="28"/>
          <w:lang w:eastAsia="en-US"/>
        </w:rPr>
        <w:t xml:space="preserve"> необхідність заповнення прогалин у праві</w:t>
      </w:r>
      <w:r w:rsidR="00665E12" w:rsidRPr="00EB4DBC">
        <w:rPr>
          <w:rFonts w:eastAsia="Calibri"/>
          <w:bCs/>
          <w:sz w:val="28"/>
          <w:szCs w:val="28"/>
          <w:lang w:eastAsia="en-US"/>
        </w:rPr>
        <w:t xml:space="preserve"> </w:t>
      </w:r>
      <w:r w:rsidR="00665E12">
        <w:rPr>
          <w:rFonts w:eastAsia="Calibri"/>
          <w:bCs/>
          <w:sz w:val="28"/>
          <w:szCs w:val="28"/>
          <w:lang w:eastAsia="en-US"/>
        </w:rPr>
        <w:t>в</w:t>
      </w:r>
      <w:r w:rsidR="00665E12" w:rsidRPr="00833534">
        <w:rPr>
          <w:rFonts w:eastAsia="Calibri"/>
          <w:bCs/>
          <w:sz w:val="28"/>
          <w:szCs w:val="28"/>
          <w:lang w:eastAsia="en-US"/>
        </w:rPr>
        <w:t xml:space="preserve"> контексті виконання міжнародних зобов’язань України щодо реалізації завдань Третього енергетичного пакету</w:t>
      </w:r>
      <w:r w:rsidR="00665E12">
        <w:rPr>
          <w:rFonts w:eastAsia="Calibri"/>
          <w:bCs/>
          <w:sz w:val="28"/>
          <w:szCs w:val="28"/>
          <w:lang w:eastAsia="en-US"/>
        </w:rPr>
        <w:t xml:space="preserve"> ЄС та </w:t>
      </w:r>
      <w:r w:rsidR="00665E12" w:rsidRPr="00833534">
        <w:rPr>
          <w:rFonts w:eastAsia="Calibri"/>
          <w:bCs/>
          <w:sz w:val="28"/>
          <w:szCs w:val="28"/>
          <w:lang w:eastAsia="en-US"/>
        </w:rPr>
        <w:t>якісного транспонування у вітчизняне законодавство правових приписів та рекомендацій Директиви 2009/73/ЄС про спільні правила внутрішнього ринку природного газу</w:t>
      </w:r>
      <w:r w:rsidR="00665E12">
        <w:rPr>
          <w:rFonts w:eastAsia="Calibri"/>
          <w:bCs/>
          <w:sz w:val="28"/>
          <w:szCs w:val="28"/>
          <w:lang w:eastAsia="en-US"/>
        </w:rPr>
        <w:t>;</w:t>
      </w:r>
      <w:r w:rsidR="00665E12" w:rsidRPr="00EB4DBC">
        <w:rPr>
          <w:rFonts w:eastAsia="Calibri"/>
          <w:sz w:val="28"/>
          <w:szCs w:val="28"/>
          <w:lang w:eastAsia="en-US"/>
        </w:rPr>
        <w:t xml:space="preserve"> </w:t>
      </w:r>
      <w:r w:rsidR="00665E12">
        <w:rPr>
          <w:rFonts w:eastAsia="Calibri"/>
          <w:sz w:val="28"/>
          <w:szCs w:val="28"/>
          <w:lang w:eastAsia="en-US"/>
        </w:rPr>
        <w:t xml:space="preserve">мету діяльності НКРЕКП, визначену статтею 3 Закону </w:t>
      </w:r>
      <w:r w:rsidR="00665E12" w:rsidRPr="00EB4DBC">
        <w:rPr>
          <w:rFonts w:eastAsia="Calibri"/>
          <w:sz w:val="28"/>
          <w:szCs w:val="28"/>
          <w:lang w:eastAsia="en-US"/>
        </w:rPr>
        <w:t xml:space="preserve">України «Про </w:t>
      </w:r>
      <w:r w:rsidR="00665E12" w:rsidRPr="00BF07A1">
        <w:rPr>
          <w:rFonts w:eastAsia="Calibri"/>
          <w:sz w:val="28"/>
          <w:szCs w:val="28"/>
          <w:lang w:eastAsia="en-US"/>
        </w:rPr>
        <w:t>Національну комісію, що здійснює державне регулювання у сферах енергетики та комунальних послуг</w:t>
      </w:r>
      <w:r w:rsidR="00665E12" w:rsidRPr="00EB4DBC">
        <w:rPr>
          <w:rFonts w:eastAsia="Calibri"/>
          <w:sz w:val="28"/>
          <w:szCs w:val="28"/>
          <w:lang w:eastAsia="en-US"/>
        </w:rPr>
        <w:t xml:space="preserve">», </w:t>
      </w:r>
      <w:r w:rsidR="00665E12">
        <w:rPr>
          <w:rFonts w:eastAsia="Calibri"/>
          <w:sz w:val="28"/>
          <w:szCs w:val="28"/>
          <w:lang w:eastAsia="en-US"/>
        </w:rPr>
        <w:t xml:space="preserve">в частині, що стосується «здійснення Регулятором </w:t>
      </w:r>
      <w:r w:rsidR="00665E12" w:rsidRPr="008E3ADA">
        <w:rPr>
          <w:rFonts w:eastAsia="Calibri"/>
          <w:sz w:val="28"/>
          <w:szCs w:val="28"/>
          <w:lang w:eastAsia="en-US"/>
        </w:rPr>
        <w:t>державн</w:t>
      </w:r>
      <w:r w:rsidR="00665E12">
        <w:rPr>
          <w:rFonts w:eastAsia="Calibri"/>
          <w:sz w:val="28"/>
          <w:szCs w:val="28"/>
          <w:lang w:eastAsia="en-US"/>
        </w:rPr>
        <w:t>ого</w:t>
      </w:r>
      <w:r w:rsidR="00665E12" w:rsidRPr="008E3ADA">
        <w:rPr>
          <w:rFonts w:eastAsia="Calibri"/>
          <w:sz w:val="28"/>
          <w:szCs w:val="28"/>
          <w:lang w:eastAsia="en-US"/>
        </w:rPr>
        <w:t xml:space="preserve"> регулювання з метою досягнення балансу інтересів споживачів, суб’єктів господарювання, що провадять діяльність у сферах енергетики та комунальних послуг, і держави</w:t>
      </w:r>
      <w:r w:rsidR="00665E12">
        <w:rPr>
          <w:rFonts w:eastAsia="Calibri"/>
          <w:sz w:val="28"/>
          <w:szCs w:val="28"/>
          <w:lang w:eastAsia="en-US"/>
        </w:rPr>
        <w:t>»;</w:t>
      </w:r>
      <w:r w:rsidR="00665E12" w:rsidRPr="00D36D6A">
        <w:rPr>
          <w:rFonts w:eastAsia="Calibri"/>
          <w:sz w:val="28"/>
          <w:szCs w:val="28"/>
          <w:lang w:eastAsia="en-US"/>
        </w:rPr>
        <w:t xml:space="preserve"> вимоги статті 18 Закону України «Про ринок природного газу», в частині, що стосується «заохочення державою впровадження новітніх систем, у тому числі апаратних засобів обліку природного газу, зокрема тих, що забезпечують можливість споживача активн</w:t>
      </w:r>
      <w:r w:rsidR="004D433D">
        <w:rPr>
          <w:rFonts w:eastAsia="Calibri"/>
          <w:sz w:val="28"/>
          <w:szCs w:val="28"/>
          <w:lang w:eastAsia="en-US"/>
        </w:rPr>
        <w:t>о управляти власним споживанням;</w:t>
      </w:r>
    </w:p>
    <w:p w:rsidR="00665E12" w:rsidRPr="00EB4DBC" w:rsidRDefault="004D433D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</w:t>
      </w:r>
      <w:r w:rsidR="00665E12" w:rsidRPr="00EB4DBC">
        <w:rPr>
          <w:rFonts w:eastAsia="Calibri"/>
          <w:sz w:val="28"/>
          <w:szCs w:val="28"/>
          <w:lang w:eastAsia="en-US"/>
        </w:rPr>
        <w:t xml:space="preserve">еручи до уваги, що: </w:t>
      </w:r>
    </w:p>
    <w:p w:rsidR="00665E12" w:rsidRDefault="004D433D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</w:t>
      </w:r>
      <w:r w:rsidR="00665E12" w:rsidRPr="00D370BA">
        <w:rPr>
          <w:rFonts w:eastAsia="Calibri"/>
          <w:sz w:val="28"/>
          <w:szCs w:val="28"/>
          <w:lang w:eastAsia="en-US"/>
        </w:rPr>
        <w:t>ритичн</w:t>
      </w:r>
      <w:r w:rsidR="00665E12">
        <w:rPr>
          <w:rFonts w:eastAsia="Calibri"/>
          <w:sz w:val="28"/>
          <w:szCs w:val="28"/>
          <w:lang w:eastAsia="en-US"/>
        </w:rPr>
        <w:t>е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уповільнення руху </w:t>
      </w:r>
      <w:r w:rsidR="00665E12">
        <w:rPr>
          <w:rFonts w:eastAsia="Calibri"/>
          <w:sz w:val="28"/>
          <w:szCs w:val="28"/>
          <w:lang w:eastAsia="en-US"/>
        </w:rPr>
        <w:t>Регулятора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</w:t>
      </w:r>
      <w:r w:rsidR="00665E12">
        <w:rPr>
          <w:rFonts w:eastAsia="Calibri"/>
          <w:sz w:val="28"/>
          <w:szCs w:val="28"/>
          <w:lang w:eastAsia="en-US"/>
        </w:rPr>
        <w:t xml:space="preserve">та </w:t>
      </w:r>
      <w:r w:rsidR="00665E12" w:rsidRPr="00D370BA">
        <w:rPr>
          <w:rFonts w:eastAsia="Calibri"/>
          <w:sz w:val="28"/>
          <w:szCs w:val="28"/>
          <w:lang w:eastAsia="en-US"/>
        </w:rPr>
        <w:t>органів виконавчої влади, відповідальних в системі ЦОВВ за формування та реалізацію державної політики в ПЕК та в сфері ефективного використання паливно-енергетичних ресурсів й енергозбереження</w:t>
      </w:r>
      <w:r w:rsidR="00665E12">
        <w:rPr>
          <w:rFonts w:eastAsia="Calibri"/>
          <w:sz w:val="28"/>
          <w:szCs w:val="28"/>
          <w:lang w:eastAsia="en-US"/>
        </w:rPr>
        <w:t>,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</w:t>
      </w:r>
      <w:r w:rsidR="00665E12">
        <w:rPr>
          <w:rFonts w:eastAsia="Calibri"/>
          <w:sz w:val="28"/>
          <w:szCs w:val="28"/>
          <w:lang w:eastAsia="en-US"/>
        </w:rPr>
        <w:t xml:space="preserve">у </w:t>
      </w:r>
      <w:r w:rsidR="00665E12" w:rsidRPr="00D370BA">
        <w:rPr>
          <w:rFonts w:eastAsia="Calibri"/>
          <w:sz w:val="28"/>
          <w:szCs w:val="28"/>
          <w:lang w:eastAsia="en-US"/>
        </w:rPr>
        <w:t>напрямі якісно</w:t>
      </w:r>
      <w:r w:rsidR="00665E12">
        <w:rPr>
          <w:rFonts w:eastAsia="Calibri"/>
          <w:sz w:val="28"/>
          <w:szCs w:val="28"/>
          <w:lang w:eastAsia="en-US"/>
        </w:rPr>
        <w:t xml:space="preserve">го 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транспонування приписів і рекомендацій Директиви 2009/73/ЄС у вітчизняне законодавство, </w:t>
      </w:r>
      <w:r w:rsidR="00665E12">
        <w:rPr>
          <w:rFonts w:eastAsia="Calibri"/>
          <w:sz w:val="28"/>
          <w:szCs w:val="28"/>
          <w:lang w:eastAsia="en-US"/>
        </w:rPr>
        <w:t>призвело до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гальмування впровадження ефективних механізмів стимулювання економічного зростання та шляхів поширення інноваційних технологічних рішень, які зможуть забезпечити державу об’єктивною інформацією щодо використання енергоресурсів та в перспективі стануть базисом для складання і управління енергетичним балансом країни,</w:t>
      </w:r>
      <w:r w:rsidR="00665E12">
        <w:rPr>
          <w:rFonts w:eastAsia="Calibri"/>
          <w:sz w:val="28"/>
          <w:szCs w:val="28"/>
          <w:lang w:eastAsia="en-US"/>
        </w:rPr>
        <w:t xml:space="preserve"> </w:t>
      </w:r>
      <w:r w:rsidR="00665E12" w:rsidRPr="00751257">
        <w:rPr>
          <w:rFonts w:eastAsia="Calibri"/>
          <w:sz w:val="28"/>
          <w:szCs w:val="28"/>
          <w:lang w:eastAsia="en-US"/>
        </w:rPr>
        <w:t>сприятимуть посиленн</w:t>
      </w:r>
      <w:r w:rsidR="00665E12">
        <w:rPr>
          <w:rFonts w:eastAsia="Calibri"/>
          <w:sz w:val="28"/>
          <w:szCs w:val="28"/>
          <w:lang w:eastAsia="en-US"/>
        </w:rPr>
        <w:t>ю</w:t>
      </w:r>
      <w:r w:rsidR="00665E12" w:rsidRPr="00751257">
        <w:rPr>
          <w:rFonts w:eastAsia="Calibri"/>
          <w:sz w:val="28"/>
          <w:szCs w:val="28"/>
          <w:lang w:eastAsia="en-US"/>
        </w:rPr>
        <w:t xml:space="preserve"> захисту прав споживачів газу</w:t>
      </w:r>
      <w:r w:rsidR="00665E12">
        <w:rPr>
          <w:rFonts w:eastAsia="Calibri"/>
          <w:sz w:val="28"/>
          <w:szCs w:val="28"/>
          <w:lang w:eastAsia="en-US"/>
        </w:rPr>
        <w:t xml:space="preserve"> та їх </w:t>
      </w:r>
      <w:r w:rsidR="00665E12" w:rsidRPr="00751257">
        <w:rPr>
          <w:rFonts w:eastAsia="Calibri"/>
          <w:sz w:val="28"/>
          <w:szCs w:val="28"/>
          <w:lang w:eastAsia="en-US"/>
        </w:rPr>
        <w:t>активній участі на ринку постачання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F1F23">
        <w:rPr>
          <w:rFonts w:eastAsia="Calibri"/>
          <w:sz w:val="28"/>
          <w:szCs w:val="28"/>
          <w:lang w:eastAsia="en-US"/>
        </w:rPr>
        <w:t>і</w:t>
      </w:r>
      <w:r w:rsidR="00665E12">
        <w:rPr>
          <w:rFonts w:eastAsia="Calibri"/>
          <w:sz w:val="28"/>
          <w:szCs w:val="28"/>
          <w:lang w:eastAsia="en-US"/>
        </w:rPr>
        <w:t xml:space="preserve"> розподілу</w:t>
      </w:r>
      <w:r w:rsidR="00665E12" w:rsidRPr="00751257">
        <w:rPr>
          <w:rFonts w:eastAsia="Calibri"/>
          <w:sz w:val="28"/>
          <w:szCs w:val="28"/>
          <w:lang w:eastAsia="en-US"/>
        </w:rPr>
        <w:t xml:space="preserve"> газу</w:t>
      </w:r>
      <w:r w:rsidR="00665E12">
        <w:rPr>
          <w:rFonts w:eastAsia="Calibri"/>
          <w:sz w:val="28"/>
          <w:szCs w:val="28"/>
          <w:lang w:eastAsia="en-US"/>
        </w:rPr>
        <w:t xml:space="preserve"> </w:t>
      </w:r>
      <w:r w:rsidR="00665E12" w:rsidRPr="00751257">
        <w:rPr>
          <w:rFonts w:eastAsia="Calibri"/>
          <w:sz w:val="28"/>
          <w:szCs w:val="28"/>
          <w:lang w:eastAsia="en-US"/>
        </w:rPr>
        <w:t>(в частині економії споживання енергетичн</w:t>
      </w:r>
      <w:r w:rsidR="00665E12">
        <w:rPr>
          <w:rFonts w:eastAsia="Calibri"/>
          <w:sz w:val="28"/>
          <w:szCs w:val="28"/>
          <w:lang w:eastAsia="en-US"/>
        </w:rPr>
        <w:t>ого</w:t>
      </w:r>
      <w:r w:rsidR="00665E12" w:rsidRPr="00751257">
        <w:rPr>
          <w:rFonts w:eastAsia="Calibri"/>
          <w:sz w:val="28"/>
          <w:szCs w:val="28"/>
          <w:lang w:eastAsia="en-US"/>
        </w:rPr>
        <w:t xml:space="preserve"> ресурс</w:t>
      </w:r>
      <w:r w:rsidR="00665E12">
        <w:rPr>
          <w:rFonts w:eastAsia="Calibri"/>
          <w:sz w:val="28"/>
          <w:szCs w:val="28"/>
          <w:lang w:eastAsia="en-US"/>
        </w:rPr>
        <w:t>у</w:t>
      </w:r>
      <w:r w:rsidR="00665E12" w:rsidRPr="00751257">
        <w:rPr>
          <w:rFonts w:eastAsia="Calibri"/>
          <w:sz w:val="28"/>
          <w:szCs w:val="28"/>
          <w:lang w:eastAsia="en-US"/>
        </w:rPr>
        <w:t>)</w:t>
      </w:r>
      <w:r w:rsidR="00665E12">
        <w:rPr>
          <w:rFonts w:eastAsia="Calibri"/>
          <w:sz w:val="28"/>
          <w:szCs w:val="28"/>
          <w:lang w:eastAsia="en-US"/>
        </w:rPr>
        <w:t>;</w:t>
      </w:r>
    </w:p>
    <w:p w:rsidR="00665E12" w:rsidRDefault="004D433D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</w:t>
      </w:r>
      <w:r w:rsidR="00665E12">
        <w:rPr>
          <w:rFonts w:eastAsia="Calibri"/>
          <w:sz w:val="28"/>
          <w:szCs w:val="28"/>
          <w:lang w:eastAsia="en-US"/>
        </w:rPr>
        <w:t xml:space="preserve">ведений Регулятором в дію </w:t>
      </w:r>
      <w:r w:rsidR="00665E12" w:rsidRPr="00E453AB">
        <w:rPr>
          <w:rFonts w:eastAsia="Calibri"/>
          <w:sz w:val="28"/>
          <w:szCs w:val="28"/>
          <w:lang w:eastAsia="en-US"/>
        </w:rPr>
        <w:t>Кодекс газорозподільних систем</w:t>
      </w:r>
      <w:r w:rsidR="00665E12">
        <w:rPr>
          <w:rFonts w:eastAsia="Calibri"/>
          <w:sz w:val="28"/>
          <w:szCs w:val="28"/>
          <w:lang w:eastAsia="en-US"/>
        </w:rPr>
        <w:t xml:space="preserve"> не відповідає вимогам 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статті 18 </w:t>
      </w:r>
      <w:r w:rsidR="00665E12">
        <w:rPr>
          <w:rFonts w:eastAsia="Calibri"/>
          <w:sz w:val="28"/>
          <w:szCs w:val="28"/>
          <w:lang w:eastAsia="en-US"/>
        </w:rPr>
        <w:t xml:space="preserve">Закону України </w:t>
      </w:r>
      <w:r w:rsidR="00665E12" w:rsidRPr="00D370BA">
        <w:rPr>
          <w:rFonts w:eastAsia="Calibri"/>
          <w:sz w:val="28"/>
          <w:szCs w:val="28"/>
          <w:lang w:eastAsia="en-US"/>
        </w:rPr>
        <w:t>«Про ринок природного газу»</w:t>
      </w:r>
      <w:r w:rsidR="00665E12">
        <w:rPr>
          <w:rFonts w:eastAsia="Calibri"/>
          <w:sz w:val="28"/>
          <w:szCs w:val="28"/>
          <w:lang w:eastAsia="en-US"/>
        </w:rPr>
        <w:t xml:space="preserve">, де законодавець за допомогою </w:t>
      </w:r>
      <w:r w:rsidR="00665E12" w:rsidRPr="00D370BA">
        <w:rPr>
          <w:rFonts w:eastAsia="Calibri"/>
          <w:sz w:val="28"/>
          <w:szCs w:val="28"/>
          <w:lang w:eastAsia="en-US"/>
        </w:rPr>
        <w:t>спеціальних правових понять</w:t>
      </w:r>
      <w:r w:rsidR="00665E12" w:rsidRPr="00E453AB">
        <w:rPr>
          <w:rFonts w:eastAsia="Calibri"/>
          <w:sz w:val="28"/>
          <w:szCs w:val="28"/>
          <w:lang w:eastAsia="en-US"/>
        </w:rPr>
        <w:t xml:space="preserve"> </w:t>
      </w:r>
      <w:r w:rsidR="00665E12">
        <w:rPr>
          <w:rFonts w:eastAsia="Calibri"/>
          <w:sz w:val="28"/>
          <w:szCs w:val="28"/>
          <w:lang w:eastAsia="en-US"/>
        </w:rPr>
        <w:t>дав визначення «</w:t>
      </w:r>
      <w:r w:rsidR="00665E12" w:rsidRPr="00D370BA">
        <w:rPr>
          <w:rFonts w:eastAsia="Calibri"/>
          <w:sz w:val="28"/>
          <w:szCs w:val="28"/>
          <w:lang w:eastAsia="en-US"/>
        </w:rPr>
        <w:t>новітні</w:t>
      </w:r>
      <w:r w:rsidR="00665E12">
        <w:rPr>
          <w:rFonts w:eastAsia="Calibri"/>
          <w:sz w:val="28"/>
          <w:szCs w:val="28"/>
          <w:lang w:eastAsia="en-US"/>
        </w:rPr>
        <w:t>х систем», які держава заохочує до впровадження, конкретизуючи в їх числі «</w:t>
      </w:r>
      <w:r w:rsidR="00665E12" w:rsidRPr="00CF72DC">
        <w:rPr>
          <w:rFonts w:eastAsia="Calibri"/>
          <w:sz w:val="28"/>
          <w:szCs w:val="28"/>
          <w:lang w:eastAsia="en-US"/>
        </w:rPr>
        <w:t>апаратн</w:t>
      </w:r>
      <w:r w:rsidR="00665E12">
        <w:rPr>
          <w:rFonts w:eastAsia="Calibri"/>
          <w:sz w:val="28"/>
          <w:szCs w:val="28"/>
          <w:lang w:eastAsia="en-US"/>
        </w:rPr>
        <w:t>і</w:t>
      </w:r>
      <w:r w:rsidR="00665E12" w:rsidRPr="00CF72DC">
        <w:rPr>
          <w:rFonts w:eastAsia="Calibri"/>
          <w:sz w:val="28"/>
          <w:szCs w:val="28"/>
          <w:lang w:eastAsia="en-US"/>
        </w:rPr>
        <w:t xml:space="preserve"> засоб</w:t>
      </w:r>
      <w:r w:rsidR="00665E12">
        <w:rPr>
          <w:rFonts w:eastAsia="Calibri"/>
          <w:sz w:val="28"/>
          <w:szCs w:val="28"/>
          <w:lang w:eastAsia="en-US"/>
        </w:rPr>
        <w:t>и</w:t>
      </w:r>
      <w:r w:rsidR="00665E12" w:rsidRPr="00CF72DC">
        <w:rPr>
          <w:rFonts w:eastAsia="Calibri"/>
          <w:sz w:val="28"/>
          <w:szCs w:val="28"/>
          <w:lang w:eastAsia="en-US"/>
        </w:rPr>
        <w:t xml:space="preserve"> обліку природного газу, зокрема т</w:t>
      </w:r>
      <w:r w:rsidR="00665E12">
        <w:rPr>
          <w:rFonts w:eastAsia="Calibri"/>
          <w:sz w:val="28"/>
          <w:szCs w:val="28"/>
          <w:lang w:eastAsia="en-US"/>
        </w:rPr>
        <w:t>і</w:t>
      </w:r>
      <w:r w:rsidR="00665E12" w:rsidRPr="00CF72DC">
        <w:rPr>
          <w:rFonts w:eastAsia="Calibri"/>
          <w:sz w:val="28"/>
          <w:szCs w:val="28"/>
          <w:lang w:eastAsia="en-US"/>
        </w:rPr>
        <w:t>, що забезпечують можливість споживача активно управляти власним споживанням</w:t>
      </w:r>
      <w:r w:rsidR="00665E12">
        <w:rPr>
          <w:rFonts w:eastAsia="Calibri"/>
          <w:sz w:val="28"/>
          <w:szCs w:val="28"/>
          <w:lang w:eastAsia="en-US"/>
        </w:rPr>
        <w:t>»;</w:t>
      </w:r>
    </w:p>
    <w:p w:rsidR="00665E12" w:rsidRDefault="004D433D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процесі формування вторинного законодавства, внаслідок довільної інтерпретац</w:t>
      </w:r>
      <w:r>
        <w:rPr>
          <w:rFonts w:eastAsia="Calibri"/>
          <w:sz w:val="28"/>
          <w:szCs w:val="28"/>
          <w:lang w:eastAsia="en-US"/>
        </w:rPr>
        <w:t>ії вказаної норми з боку НКРЕКП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</w:t>
      </w:r>
      <w:r w:rsidR="00665E12">
        <w:rPr>
          <w:rFonts w:eastAsia="Calibri"/>
          <w:sz w:val="28"/>
          <w:szCs w:val="28"/>
          <w:lang w:eastAsia="en-US"/>
        </w:rPr>
        <w:t>вказана вище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конкретизація взагалі не була врахована Регулятором і не знайшла свого відображення в Кодексі газорозподільних систем. </w:t>
      </w:r>
      <w:r w:rsidR="00665E12">
        <w:rPr>
          <w:rFonts w:eastAsia="Calibri"/>
          <w:sz w:val="28"/>
          <w:szCs w:val="28"/>
          <w:lang w:eastAsia="en-US"/>
        </w:rPr>
        <w:t>Це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призвело до викривлення суті викладеної правової норми та подальшої артикуляції норм вторинного законодавства виключно на «дистанційному обліку» та «засобах дистанційної передачі даних». Останні апріорі не можуть використовуватися</w:t>
      </w:r>
      <w:r w:rsidR="00665E12">
        <w:rPr>
          <w:rFonts w:eastAsia="Calibri"/>
          <w:sz w:val="28"/>
          <w:szCs w:val="28"/>
          <w:lang w:eastAsia="en-US"/>
        </w:rPr>
        <w:t xml:space="preserve"> споживачами для активного управління власним споживанням</w:t>
      </w:r>
      <w:r>
        <w:rPr>
          <w:rFonts w:eastAsia="Calibri"/>
          <w:sz w:val="28"/>
          <w:szCs w:val="28"/>
          <w:lang w:eastAsia="en-US"/>
        </w:rPr>
        <w:t>. У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результаті споживачі залишилися позбавленими права та перспектив на використання </w:t>
      </w:r>
      <w:r w:rsidR="00665E12">
        <w:rPr>
          <w:rFonts w:eastAsia="Calibri"/>
          <w:sz w:val="28"/>
          <w:szCs w:val="28"/>
          <w:lang w:eastAsia="en-US"/>
        </w:rPr>
        <w:t xml:space="preserve">таких </w:t>
      </w:r>
      <w:r w:rsidR="00665E12" w:rsidRPr="00D370BA">
        <w:rPr>
          <w:rFonts w:eastAsia="Calibri"/>
          <w:sz w:val="28"/>
          <w:szCs w:val="28"/>
          <w:lang w:eastAsia="en-US"/>
        </w:rPr>
        <w:t>апаратних засобів, що забезпечують можливість активно управляти власним споживанням (звісно, за умови обґрунтованості з економічної точки зору і рентабельно</w:t>
      </w:r>
      <w:r w:rsidR="005560AF">
        <w:rPr>
          <w:rFonts w:eastAsia="Calibri"/>
          <w:sz w:val="28"/>
          <w:szCs w:val="28"/>
          <w:lang w:eastAsia="en-US"/>
        </w:rPr>
        <w:t>сті впровадження таких засобів)</w:t>
      </w:r>
      <w:r w:rsidR="00E476A0">
        <w:rPr>
          <w:rFonts w:eastAsia="Calibri"/>
          <w:sz w:val="28"/>
          <w:szCs w:val="28"/>
          <w:lang w:eastAsia="en-US"/>
        </w:rPr>
        <w:t>.</w:t>
      </w:r>
    </w:p>
    <w:p w:rsidR="00665E12" w:rsidRDefault="004D433D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</w:t>
      </w:r>
      <w:r w:rsidR="00665E12" w:rsidRPr="00D370BA">
        <w:rPr>
          <w:rFonts w:eastAsia="Calibri"/>
          <w:sz w:val="28"/>
          <w:szCs w:val="28"/>
          <w:lang w:eastAsia="en-US"/>
        </w:rPr>
        <w:t>уб’єкти господарю</w:t>
      </w:r>
      <w:r>
        <w:rPr>
          <w:rFonts w:eastAsia="Calibri"/>
          <w:sz w:val="28"/>
          <w:szCs w:val="28"/>
          <w:lang w:eastAsia="en-US"/>
        </w:rPr>
        <w:t>вання, що провадять діяльність у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сферах енергетики та комунальних послуг і мають монопольне становище на ринку, отримали додатковий інструмент дискримінаційного впливу на споживачів, позаяк впровадження «засобів дистанційної передачі даних»</w:t>
      </w:r>
      <w:r w:rsidR="00665E12">
        <w:rPr>
          <w:rFonts w:eastAsia="Calibri"/>
          <w:sz w:val="28"/>
          <w:szCs w:val="28"/>
          <w:lang w:eastAsia="en-US"/>
        </w:rPr>
        <w:t xml:space="preserve"> (обладнання ними вузлів обліку газу)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здійснюється за рахунок споживачів (останні є власниками вузлів обліку газу). До того ж, введення цієї </w:t>
      </w:r>
      <w:r w:rsidR="00665E12">
        <w:rPr>
          <w:rFonts w:eastAsia="Calibri"/>
          <w:sz w:val="28"/>
          <w:szCs w:val="28"/>
          <w:lang w:eastAsia="en-US"/>
        </w:rPr>
        <w:t xml:space="preserve">дискримінаційної </w:t>
      </w:r>
      <w:r w:rsidR="00665E12" w:rsidRPr="00D370BA">
        <w:rPr>
          <w:rFonts w:eastAsia="Calibri"/>
          <w:sz w:val="28"/>
          <w:szCs w:val="28"/>
          <w:lang w:eastAsia="en-US"/>
        </w:rPr>
        <w:t>норми в Кодекс газорозподільних систем дозволи</w:t>
      </w:r>
      <w:r w:rsidR="00665E12">
        <w:rPr>
          <w:rFonts w:eastAsia="Calibri"/>
          <w:sz w:val="28"/>
          <w:szCs w:val="28"/>
          <w:lang w:eastAsia="en-US"/>
        </w:rPr>
        <w:t>в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операторам систем газорозподілу оптимізувати видатки на операційну діяльність (наприклад, шляхом скорочення штату контролерів), що взагалі не </w:t>
      </w:r>
      <w:proofErr w:type="spellStart"/>
      <w:r w:rsidR="00665E12" w:rsidRPr="00D370BA">
        <w:rPr>
          <w:rFonts w:eastAsia="Calibri"/>
          <w:sz w:val="28"/>
          <w:szCs w:val="28"/>
          <w:lang w:eastAsia="en-US"/>
        </w:rPr>
        <w:t>співставно</w:t>
      </w:r>
      <w:proofErr w:type="spellEnd"/>
      <w:r w:rsidR="00665E12" w:rsidRPr="00D370BA">
        <w:rPr>
          <w:rFonts w:eastAsia="Calibri"/>
          <w:sz w:val="28"/>
          <w:szCs w:val="28"/>
          <w:lang w:eastAsia="en-US"/>
        </w:rPr>
        <w:t xml:space="preserve"> з цілями та рівнем завдань, визначених </w:t>
      </w:r>
      <w:r w:rsidR="00665E12">
        <w:rPr>
          <w:rFonts w:eastAsia="Calibri"/>
          <w:sz w:val="28"/>
          <w:szCs w:val="28"/>
          <w:lang w:eastAsia="en-US"/>
        </w:rPr>
        <w:t>як Д</w:t>
      </w:r>
      <w:r w:rsidR="00665E12" w:rsidRPr="00D370BA">
        <w:rPr>
          <w:rFonts w:eastAsia="Calibri"/>
          <w:sz w:val="28"/>
          <w:szCs w:val="28"/>
          <w:lang w:eastAsia="en-US"/>
        </w:rPr>
        <w:t>иректив</w:t>
      </w:r>
      <w:r w:rsidR="00665E12">
        <w:rPr>
          <w:rFonts w:eastAsia="Calibri"/>
          <w:sz w:val="28"/>
          <w:szCs w:val="28"/>
          <w:lang w:eastAsia="en-US"/>
        </w:rPr>
        <w:t>ою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2009/73/ЄС</w:t>
      </w:r>
      <w:r w:rsidR="00665E12">
        <w:rPr>
          <w:rFonts w:eastAsia="Calibri"/>
          <w:sz w:val="28"/>
          <w:szCs w:val="28"/>
          <w:lang w:eastAsia="en-US"/>
        </w:rPr>
        <w:t xml:space="preserve">, так і Директивою 2012/27/ЄС про енергоефективність (відповідальний за імплементацію </w:t>
      </w:r>
      <w:proofErr w:type="spellStart"/>
      <w:r w:rsidR="00665E12">
        <w:rPr>
          <w:rFonts w:eastAsia="Calibri"/>
          <w:sz w:val="28"/>
          <w:szCs w:val="28"/>
          <w:lang w:eastAsia="en-US"/>
        </w:rPr>
        <w:t>Держенергоефективності</w:t>
      </w:r>
      <w:proofErr w:type="spellEnd"/>
      <w:r w:rsidR="00665E12">
        <w:rPr>
          <w:rFonts w:eastAsia="Calibri"/>
          <w:sz w:val="28"/>
          <w:szCs w:val="28"/>
          <w:lang w:eastAsia="en-US"/>
        </w:rPr>
        <w:t>);</w:t>
      </w:r>
    </w:p>
    <w:p w:rsidR="00665E12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4D433D">
        <w:rPr>
          <w:rFonts w:eastAsia="Calibri"/>
          <w:sz w:val="28"/>
          <w:szCs w:val="28"/>
          <w:lang w:eastAsia="en-US"/>
        </w:rPr>
        <w:t>) о</w:t>
      </w:r>
      <w:r w:rsidRPr="00D370BA">
        <w:rPr>
          <w:rFonts w:eastAsia="Calibri"/>
          <w:sz w:val="28"/>
          <w:szCs w:val="28"/>
          <w:lang w:eastAsia="en-US"/>
        </w:rPr>
        <w:t>бмеженість технологічних функцій засобів дистанцій</w:t>
      </w:r>
      <w:r w:rsidR="004D433D">
        <w:rPr>
          <w:rFonts w:eastAsia="Calibri"/>
          <w:sz w:val="28"/>
          <w:szCs w:val="28"/>
          <w:lang w:eastAsia="en-US"/>
        </w:rPr>
        <w:t>ної передачі даних є очевидною  порівняно</w:t>
      </w:r>
      <w:r w:rsidRPr="00D370BA">
        <w:rPr>
          <w:rFonts w:eastAsia="Calibri"/>
          <w:sz w:val="28"/>
          <w:szCs w:val="28"/>
          <w:lang w:eastAsia="en-US"/>
        </w:rPr>
        <w:t xml:space="preserve"> з функціональним оснащенням та технологічними можливостями </w:t>
      </w:r>
      <w:r w:rsidRPr="00184267">
        <w:rPr>
          <w:rFonts w:eastAsia="Calibri"/>
          <w:sz w:val="28"/>
          <w:szCs w:val="28"/>
          <w:lang w:eastAsia="en-US"/>
        </w:rPr>
        <w:t>апаратних засобів обліку природного газу, що забезпечують можливість споживача активно управляти власним споживанням</w:t>
      </w:r>
      <w:r>
        <w:rPr>
          <w:rFonts w:eastAsia="Calibri"/>
          <w:sz w:val="28"/>
          <w:szCs w:val="28"/>
          <w:lang w:eastAsia="en-US"/>
        </w:rPr>
        <w:t xml:space="preserve"> (тобто, </w:t>
      </w:r>
      <w:r w:rsidRPr="00D370BA">
        <w:rPr>
          <w:rFonts w:eastAsia="Calibri"/>
          <w:sz w:val="28"/>
          <w:szCs w:val="28"/>
          <w:lang w:eastAsia="en-US"/>
        </w:rPr>
        <w:t>інтелектуальни</w:t>
      </w:r>
      <w:r>
        <w:rPr>
          <w:rFonts w:eastAsia="Calibri"/>
          <w:sz w:val="28"/>
          <w:szCs w:val="28"/>
          <w:lang w:eastAsia="en-US"/>
        </w:rPr>
        <w:t>х</w:t>
      </w:r>
      <w:r w:rsidRPr="00D370BA">
        <w:rPr>
          <w:rFonts w:eastAsia="Calibri"/>
          <w:sz w:val="28"/>
          <w:szCs w:val="28"/>
          <w:lang w:eastAsia="en-US"/>
        </w:rPr>
        <w:t xml:space="preserve"> систем обліку</w:t>
      </w:r>
      <w:r>
        <w:rPr>
          <w:rFonts w:eastAsia="Calibri"/>
          <w:sz w:val="28"/>
          <w:szCs w:val="28"/>
          <w:lang w:eastAsia="en-US"/>
        </w:rPr>
        <w:t xml:space="preserve"> газу);</w:t>
      </w:r>
    </w:p>
    <w:p w:rsidR="00665E12" w:rsidRDefault="004D433D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</w:t>
      </w:r>
      <w:r w:rsidR="00665E12">
        <w:rPr>
          <w:rFonts w:eastAsia="Calibri"/>
          <w:sz w:val="28"/>
          <w:szCs w:val="28"/>
          <w:lang w:eastAsia="en-US"/>
        </w:rPr>
        <w:t xml:space="preserve">римусове (для споживачів) 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на цьому етапі </w:t>
      </w:r>
      <w:r w:rsidR="00665E12">
        <w:rPr>
          <w:rFonts w:eastAsia="Calibri"/>
          <w:sz w:val="28"/>
          <w:szCs w:val="28"/>
          <w:lang w:eastAsia="en-US"/>
        </w:rPr>
        <w:t>о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снащення </w:t>
      </w:r>
      <w:r w:rsidR="00665E12">
        <w:rPr>
          <w:rFonts w:eastAsia="Calibri"/>
          <w:sz w:val="28"/>
          <w:szCs w:val="28"/>
          <w:lang w:eastAsia="en-US"/>
        </w:rPr>
        <w:t>вузлів обліку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газу засобами дистанційної передачі даних потребуватиме </w:t>
      </w:r>
      <w:r w:rsidR="00665E12">
        <w:rPr>
          <w:rFonts w:eastAsia="Calibri"/>
          <w:sz w:val="28"/>
          <w:szCs w:val="28"/>
          <w:lang w:eastAsia="en-US"/>
        </w:rPr>
        <w:t>в подальшому додаткових і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значних фінансових капіталовкладень у разі переходу</w:t>
      </w:r>
      <w:r w:rsidR="00665E12">
        <w:rPr>
          <w:rFonts w:eastAsia="Calibri"/>
          <w:sz w:val="28"/>
          <w:szCs w:val="28"/>
          <w:lang w:eastAsia="en-US"/>
        </w:rPr>
        <w:t xml:space="preserve"> 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до виконання </w:t>
      </w:r>
      <w:r w:rsidR="00665E12">
        <w:rPr>
          <w:rFonts w:eastAsia="Calibri"/>
          <w:sz w:val="28"/>
          <w:szCs w:val="28"/>
          <w:lang w:eastAsia="en-US"/>
        </w:rPr>
        <w:t xml:space="preserve">державою </w:t>
      </w:r>
      <w:r w:rsidR="00665E12" w:rsidRPr="00D370BA">
        <w:rPr>
          <w:rFonts w:eastAsia="Calibri"/>
          <w:sz w:val="28"/>
          <w:szCs w:val="28"/>
          <w:lang w:eastAsia="en-US"/>
        </w:rPr>
        <w:t>завдань вищого рівня, а саме</w:t>
      </w:r>
      <w:r>
        <w:rPr>
          <w:rFonts w:eastAsia="Calibri"/>
          <w:sz w:val="28"/>
          <w:szCs w:val="28"/>
          <w:lang w:eastAsia="en-US"/>
        </w:rPr>
        <w:t>: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впровадження інтелектуальних систем обліку</w:t>
      </w:r>
      <w:r w:rsidR="00665E12">
        <w:rPr>
          <w:rFonts w:eastAsia="Calibri"/>
          <w:sz w:val="28"/>
          <w:szCs w:val="28"/>
          <w:lang w:eastAsia="en-US"/>
        </w:rPr>
        <w:t xml:space="preserve"> газу</w:t>
      </w:r>
      <w:r w:rsidR="00665E12" w:rsidRPr="00D370BA">
        <w:rPr>
          <w:rFonts w:eastAsia="Calibri"/>
          <w:sz w:val="28"/>
          <w:szCs w:val="28"/>
          <w:lang w:eastAsia="en-US"/>
        </w:rPr>
        <w:t>. Про це свідчить світовий досвід</w:t>
      </w:r>
      <w:r w:rsidR="00665E12">
        <w:rPr>
          <w:rFonts w:eastAsia="Calibri"/>
          <w:sz w:val="28"/>
          <w:szCs w:val="28"/>
          <w:lang w:eastAsia="en-US"/>
        </w:rPr>
        <w:t>, приписи</w:t>
      </w:r>
      <w:r w:rsidR="00665E12" w:rsidRPr="00D370BA">
        <w:rPr>
          <w:rFonts w:eastAsia="Calibri"/>
          <w:sz w:val="28"/>
          <w:szCs w:val="28"/>
          <w:lang w:eastAsia="en-US"/>
        </w:rPr>
        <w:t xml:space="preserve"> та рекомендації директивних документів ЄС та Енергетичного Співтовариства</w:t>
      </w:r>
      <w:r w:rsidR="00665E12">
        <w:rPr>
          <w:rFonts w:eastAsia="Calibri"/>
          <w:sz w:val="28"/>
          <w:szCs w:val="28"/>
          <w:lang w:eastAsia="en-US"/>
        </w:rPr>
        <w:t>;</w:t>
      </w:r>
    </w:p>
    <w:p w:rsidR="00665E12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="004D433D">
        <w:rPr>
          <w:rFonts w:eastAsia="Calibri"/>
          <w:sz w:val="28"/>
          <w:szCs w:val="28"/>
          <w:lang w:eastAsia="en-US"/>
        </w:rPr>
        <w:t>у</w:t>
      </w:r>
      <w:r w:rsidRPr="001E5EDB">
        <w:rPr>
          <w:rFonts w:eastAsia="Calibri"/>
          <w:sz w:val="28"/>
          <w:szCs w:val="28"/>
          <w:lang w:eastAsia="en-US"/>
        </w:rPr>
        <w:t xml:space="preserve"> процесі використання вузлів обліку газу</w:t>
      </w:r>
      <w:r>
        <w:rPr>
          <w:rFonts w:eastAsia="Calibri"/>
          <w:sz w:val="28"/>
          <w:szCs w:val="28"/>
          <w:lang w:eastAsia="en-US"/>
        </w:rPr>
        <w:t>, обладнаних засобами дистанційної передачі даних,</w:t>
      </w:r>
      <w:r w:rsidRPr="001E5EDB">
        <w:rPr>
          <w:rFonts w:eastAsia="Calibri"/>
          <w:sz w:val="28"/>
          <w:szCs w:val="28"/>
          <w:lang w:eastAsia="en-US"/>
        </w:rPr>
        <w:t xml:space="preserve"> замовник (абонент, споживач) несе </w:t>
      </w:r>
      <w:r>
        <w:rPr>
          <w:rFonts w:eastAsia="Calibri"/>
          <w:sz w:val="28"/>
          <w:szCs w:val="28"/>
          <w:lang w:eastAsia="en-US"/>
        </w:rPr>
        <w:t xml:space="preserve">додаткові </w:t>
      </w:r>
      <w:r w:rsidRPr="001E5EDB">
        <w:rPr>
          <w:rFonts w:eastAsia="Calibri"/>
          <w:sz w:val="28"/>
          <w:szCs w:val="28"/>
          <w:lang w:eastAsia="en-US"/>
        </w:rPr>
        <w:t xml:space="preserve">відповідні фінансові затрати </w:t>
      </w:r>
      <w:r>
        <w:rPr>
          <w:rFonts w:eastAsia="Calibri"/>
          <w:sz w:val="28"/>
          <w:szCs w:val="28"/>
          <w:lang w:eastAsia="en-US"/>
        </w:rPr>
        <w:t>(</w:t>
      </w:r>
      <w:r w:rsidRPr="001E5EDB">
        <w:rPr>
          <w:rFonts w:eastAsia="Calibri"/>
          <w:sz w:val="28"/>
          <w:szCs w:val="28"/>
          <w:lang w:eastAsia="en-US"/>
        </w:rPr>
        <w:t>по монопольних цінах оператора газорозподільних мереж</w:t>
      </w:r>
      <w:r>
        <w:rPr>
          <w:rFonts w:eastAsia="Calibri"/>
          <w:sz w:val="28"/>
          <w:szCs w:val="28"/>
          <w:lang w:eastAsia="en-US"/>
        </w:rPr>
        <w:t>),</w:t>
      </w:r>
      <w:r w:rsidRPr="001E5EDB">
        <w:rPr>
          <w:rFonts w:eastAsia="Calibri"/>
          <w:sz w:val="28"/>
          <w:szCs w:val="28"/>
          <w:lang w:eastAsia="en-US"/>
        </w:rPr>
        <w:t xml:space="preserve"> пов’язані з отриманням технічних умов, проектуванням, погодженням проектів, виконанням будівельно-монтажних робіт, виконанням </w:t>
      </w:r>
      <w:proofErr w:type="spellStart"/>
      <w:r w:rsidRPr="001E5EDB">
        <w:rPr>
          <w:rFonts w:eastAsia="Calibri"/>
          <w:sz w:val="28"/>
          <w:szCs w:val="28"/>
          <w:lang w:eastAsia="en-US"/>
        </w:rPr>
        <w:t>пуско-налагоджувальних</w:t>
      </w:r>
      <w:proofErr w:type="spellEnd"/>
      <w:r w:rsidRPr="001E5EDB">
        <w:rPr>
          <w:rFonts w:eastAsia="Calibri"/>
          <w:sz w:val="28"/>
          <w:szCs w:val="28"/>
          <w:lang w:eastAsia="en-US"/>
        </w:rPr>
        <w:t xml:space="preserve"> робіт, прийманням в експлуатацію, виконанням технічного обслуговування, поточних ремонтів, державної повірки, проведення</w:t>
      </w:r>
      <w:r>
        <w:rPr>
          <w:rFonts w:eastAsia="Calibri"/>
          <w:sz w:val="28"/>
          <w:szCs w:val="28"/>
          <w:lang w:eastAsia="en-US"/>
        </w:rPr>
        <w:t>м</w:t>
      </w:r>
      <w:r w:rsidRPr="001E5EDB">
        <w:rPr>
          <w:rFonts w:eastAsia="Calibri"/>
          <w:sz w:val="28"/>
          <w:szCs w:val="28"/>
          <w:lang w:eastAsia="en-US"/>
        </w:rPr>
        <w:t xml:space="preserve"> реконструкці</w:t>
      </w:r>
      <w:r>
        <w:rPr>
          <w:rFonts w:eastAsia="Calibri"/>
          <w:sz w:val="28"/>
          <w:szCs w:val="28"/>
          <w:lang w:eastAsia="en-US"/>
        </w:rPr>
        <w:t>ї</w:t>
      </w:r>
      <w:r w:rsidRPr="001E5EDB">
        <w:rPr>
          <w:rFonts w:eastAsia="Calibri"/>
          <w:sz w:val="28"/>
          <w:szCs w:val="28"/>
          <w:lang w:eastAsia="en-US"/>
        </w:rPr>
        <w:t>, модернізаці</w:t>
      </w:r>
      <w:r>
        <w:rPr>
          <w:rFonts w:eastAsia="Calibri"/>
          <w:sz w:val="28"/>
          <w:szCs w:val="28"/>
          <w:lang w:eastAsia="en-US"/>
        </w:rPr>
        <w:t>ї</w:t>
      </w:r>
      <w:r w:rsidRPr="001E5EDB">
        <w:rPr>
          <w:rFonts w:eastAsia="Calibri"/>
          <w:sz w:val="28"/>
          <w:szCs w:val="28"/>
          <w:lang w:eastAsia="en-US"/>
        </w:rPr>
        <w:t>, оновлення та супров</w:t>
      </w:r>
      <w:r>
        <w:rPr>
          <w:rFonts w:eastAsia="Calibri"/>
          <w:sz w:val="28"/>
          <w:szCs w:val="28"/>
          <w:lang w:eastAsia="en-US"/>
        </w:rPr>
        <w:t>о</w:t>
      </w:r>
      <w:r w:rsidRPr="001E5EDB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у</w:t>
      </w:r>
      <w:r w:rsidRPr="001E5EDB">
        <w:rPr>
          <w:rFonts w:eastAsia="Calibri"/>
          <w:sz w:val="28"/>
          <w:szCs w:val="28"/>
          <w:lang w:eastAsia="en-US"/>
        </w:rPr>
        <w:t xml:space="preserve"> програмного забезпечення</w:t>
      </w:r>
      <w:r>
        <w:rPr>
          <w:rFonts w:eastAsia="Calibri"/>
          <w:sz w:val="28"/>
          <w:szCs w:val="28"/>
          <w:lang w:eastAsia="en-US"/>
        </w:rPr>
        <w:t>;</w:t>
      </w:r>
    </w:p>
    <w:p w:rsidR="00665E12" w:rsidRPr="001E5EDB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</w:t>
      </w:r>
      <w:r w:rsidRPr="001E5EDB">
        <w:rPr>
          <w:rFonts w:eastAsia="Calibri"/>
          <w:sz w:val="28"/>
          <w:szCs w:val="28"/>
          <w:lang w:eastAsia="en-US"/>
        </w:rPr>
        <w:t xml:space="preserve"> </w:t>
      </w:r>
      <w:r w:rsidR="004D433D">
        <w:rPr>
          <w:rFonts w:eastAsia="Calibri"/>
          <w:sz w:val="28"/>
          <w:szCs w:val="28"/>
          <w:lang w:eastAsia="en-US"/>
        </w:rPr>
        <w:t>о</w:t>
      </w:r>
      <w:r w:rsidRPr="00FE3F08">
        <w:rPr>
          <w:rFonts w:eastAsia="Calibri"/>
          <w:sz w:val="28"/>
          <w:szCs w:val="28"/>
          <w:lang w:eastAsia="en-US"/>
        </w:rPr>
        <w:t xml:space="preserve">рганізація прозорого функціонування ринку природного газу </w:t>
      </w:r>
      <w:r>
        <w:rPr>
          <w:rFonts w:eastAsia="Calibri"/>
          <w:sz w:val="28"/>
          <w:szCs w:val="28"/>
          <w:lang w:eastAsia="en-US"/>
        </w:rPr>
        <w:t>та зниження д</w:t>
      </w:r>
      <w:r w:rsidRPr="001E5EDB">
        <w:rPr>
          <w:rFonts w:eastAsia="Calibri"/>
          <w:sz w:val="28"/>
          <w:szCs w:val="28"/>
          <w:lang w:eastAsia="en-US"/>
        </w:rPr>
        <w:t>искримінаційн</w:t>
      </w:r>
      <w:r>
        <w:rPr>
          <w:rFonts w:eastAsia="Calibri"/>
          <w:sz w:val="28"/>
          <w:szCs w:val="28"/>
          <w:lang w:eastAsia="en-US"/>
        </w:rPr>
        <w:t>ого навантаження на споживача</w:t>
      </w:r>
      <w:r w:rsidRPr="001E5EDB">
        <w:rPr>
          <w:rFonts w:eastAsia="Calibri"/>
          <w:sz w:val="28"/>
          <w:szCs w:val="28"/>
          <w:lang w:eastAsia="en-US"/>
        </w:rPr>
        <w:t xml:space="preserve"> мож</w:t>
      </w:r>
      <w:r>
        <w:rPr>
          <w:rFonts w:eastAsia="Calibri"/>
          <w:sz w:val="28"/>
          <w:szCs w:val="28"/>
          <w:lang w:eastAsia="en-US"/>
        </w:rPr>
        <w:t>ливі лише за умов проведення</w:t>
      </w:r>
      <w:r w:rsidRPr="001E5EDB">
        <w:rPr>
          <w:rFonts w:eastAsia="Calibri"/>
          <w:sz w:val="28"/>
          <w:szCs w:val="28"/>
          <w:lang w:eastAsia="en-US"/>
        </w:rPr>
        <w:t xml:space="preserve"> </w:t>
      </w:r>
      <w:r w:rsidRPr="00FE3F08">
        <w:rPr>
          <w:rFonts w:eastAsia="Calibri"/>
          <w:sz w:val="28"/>
          <w:szCs w:val="28"/>
          <w:lang w:eastAsia="en-US"/>
        </w:rPr>
        <w:t xml:space="preserve">системних перетворень, </w:t>
      </w:r>
      <w:r>
        <w:rPr>
          <w:rFonts w:eastAsia="Calibri"/>
          <w:sz w:val="28"/>
          <w:szCs w:val="28"/>
          <w:lang w:eastAsia="en-US"/>
        </w:rPr>
        <w:t>а саме:</w:t>
      </w:r>
      <w:r w:rsidRPr="00FE3F08">
        <w:rPr>
          <w:rFonts w:eastAsia="Calibri"/>
          <w:sz w:val="28"/>
          <w:szCs w:val="28"/>
          <w:lang w:eastAsia="en-US"/>
        </w:rPr>
        <w:t xml:space="preserve"> </w:t>
      </w:r>
    </w:p>
    <w:p w:rsidR="00665E12" w:rsidRPr="00FE3F08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F08">
        <w:rPr>
          <w:rFonts w:eastAsia="Calibri"/>
          <w:sz w:val="28"/>
          <w:szCs w:val="28"/>
          <w:lang w:eastAsia="en-US"/>
        </w:rPr>
        <w:t>– змін</w:t>
      </w:r>
      <w:r>
        <w:rPr>
          <w:rFonts w:eastAsia="Calibri"/>
          <w:sz w:val="28"/>
          <w:szCs w:val="28"/>
          <w:lang w:eastAsia="en-US"/>
        </w:rPr>
        <w:t>и</w:t>
      </w:r>
      <w:r w:rsidRPr="00FE3F08">
        <w:rPr>
          <w:rFonts w:eastAsia="Calibri"/>
          <w:sz w:val="28"/>
          <w:szCs w:val="28"/>
          <w:lang w:eastAsia="en-US"/>
        </w:rPr>
        <w:t xml:space="preserve"> одного із принципів функціонування ринку природного газу в частині, що стосується забезпечення природним газом кінцевих споживачів через вузли обліку газу, належність яких передати операторам газотранспортної та газорозподільної систем.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E3F08">
        <w:rPr>
          <w:rFonts w:eastAsia="Calibri"/>
          <w:sz w:val="28"/>
          <w:szCs w:val="28"/>
          <w:lang w:eastAsia="en-US"/>
        </w:rPr>
        <w:t>За аналогічним принципом «ваги знаходяться в продавця»</w:t>
      </w:r>
      <w:r w:rsidR="004D433D">
        <w:rPr>
          <w:rFonts w:eastAsia="Calibri"/>
          <w:sz w:val="28"/>
          <w:szCs w:val="28"/>
          <w:lang w:eastAsia="en-US"/>
        </w:rPr>
        <w:t>,</w:t>
      </w:r>
      <w:r w:rsidRPr="00FE3F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Україні </w:t>
      </w:r>
      <w:r w:rsidRPr="00FE3F08">
        <w:rPr>
          <w:rFonts w:eastAsia="Calibri"/>
          <w:sz w:val="28"/>
          <w:szCs w:val="28"/>
          <w:lang w:eastAsia="en-US"/>
        </w:rPr>
        <w:t>організований ринок електричної енергії, де лічильники електроенергії побутових споживачів належать (зн</w:t>
      </w:r>
      <w:r w:rsidR="004D433D">
        <w:rPr>
          <w:rFonts w:eastAsia="Calibri"/>
          <w:sz w:val="28"/>
          <w:szCs w:val="28"/>
          <w:lang w:eastAsia="en-US"/>
        </w:rPr>
        <w:t>аходяться на балансі) операторам</w:t>
      </w:r>
      <w:r w:rsidRPr="00FE3F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E3F08">
        <w:rPr>
          <w:rFonts w:eastAsia="Calibri"/>
          <w:sz w:val="28"/>
          <w:szCs w:val="28"/>
          <w:lang w:eastAsia="en-US"/>
        </w:rPr>
        <w:t>енергорозподільних</w:t>
      </w:r>
      <w:proofErr w:type="spellEnd"/>
      <w:r w:rsidRPr="00FE3F08">
        <w:rPr>
          <w:rFonts w:eastAsia="Calibri"/>
          <w:sz w:val="28"/>
          <w:szCs w:val="28"/>
          <w:lang w:eastAsia="en-US"/>
        </w:rPr>
        <w:t xml:space="preserve"> компаній (останні забезпечують їхню повірку і обслуговування, що в рази зменшує невмотивовані фінансові зобов’язання споживачів та мінімізує корупційні ризики в організації функц</w:t>
      </w:r>
      <w:r>
        <w:rPr>
          <w:rFonts w:eastAsia="Calibri"/>
          <w:sz w:val="28"/>
          <w:szCs w:val="28"/>
          <w:lang w:eastAsia="en-US"/>
        </w:rPr>
        <w:t>іонування ринку електроенергії)</w:t>
      </w:r>
      <w:r w:rsidRPr="00FE3F08">
        <w:rPr>
          <w:rFonts w:eastAsia="Calibri"/>
          <w:sz w:val="28"/>
          <w:szCs w:val="28"/>
          <w:lang w:eastAsia="en-US"/>
        </w:rPr>
        <w:t>;</w:t>
      </w:r>
    </w:p>
    <w:p w:rsidR="00665E12" w:rsidRPr="00FE3F08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F08">
        <w:rPr>
          <w:rFonts w:eastAsia="Calibri"/>
          <w:sz w:val="28"/>
          <w:szCs w:val="28"/>
          <w:lang w:eastAsia="en-US"/>
        </w:rPr>
        <w:t>– віднесення до компетенції НКРЕКП впорядкування належності комерційних вузлів обліку природного газу операторам газотранспортної та газорозподільної систем.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E3F08">
        <w:rPr>
          <w:rFonts w:eastAsia="Calibri"/>
          <w:sz w:val="28"/>
          <w:szCs w:val="28"/>
          <w:lang w:eastAsia="en-US"/>
        </w:rPr>
        <w:t>Зобов’яз</w:t>
      </w:r>
      <w:r>
        <w:rPr>
          <w:rFonts w:eastAsia="Calibri"/>
          <w:sz w:val="28"/>
          <w:szCs w:val="28"/>
          <w:lang w:eastAsia="en-US"/>
        </w:rPr>
        <w:t>ання</w:t>
      </w:r>
      <w:r w:rsidRPr="00FE3F08">
        <w:rPr>
          <w:rFonts w:eastAsia="Calibri"/>
          <w:sz w:val="28"/>
          <w:szCs w:val="28"/>
          <w:lang w:eastAsia="en-US"/>
        </w:rPr>
        <w:t xml:space="preserve"> Регулятора впорядкувати питання передачі існуючих комерційних вузлів обліку газу (як варіант, в господарське відання або в користування) на баланс операторів газових розподільних мереж (шляхом </w:t>
      </w:r>
      <w:proofErr w:type="spellStart"/>
      <w:r w:rsidRPr="00FE3F08">
        <w:rPr>
          <w:rFonts w:eastAsia="Calibri"/>
          <w:sz w:val="28"/>
          <w:szCs w:val="28"/>
          <w:lang w:eastAsia="en-US"/>
        </w:rPr>
        <w:t>заключення</w:t>
      </w:r>
      <w:proofErr w:type="spellEnd"/>
      <w:r w:rsidRPr="00FE3F08">
        <w:rPr>
          <w:rFonts w:eastAsia="Calibri"/>
          <w:sz w:val="28"/>
          <w:szCs w:val="28"/>
          <w:lang w:eastAsia="en-US"/>
        </w:rPr>
        <w:t xml:space="preserve"> договор</w:t>
      </w:r>
      <w:r>
        <w:rPr>
          <w:rFonts w:eastAsia="Calibri"/>
          <w:sz w:val="28"/>
          <w:szCs w:val="28"/>
          <w:lang w:eastAsia="en-US"/>
        </w:rPr>
        <w:t>ів</w:t>
      </w:r>
      <w:r w:rsidRPr="00FE3F08">
        <w:rPr>
          <w:rFonts w:eastAsia="Calibri"/>
          <w:sz w:val="28"/>
          <w:szCs w:val="28"/>
          <w:lang w:eastAsia="en-US"/>
        </w:rPr>
        <w:t xml:space="preserve"> згідно </w:t>
      </w:r>
      <w:r w:rsidR="004D433D">
        <w:rPr>
          <w:rFonts w:eastAsia="Calibri"/>
          <w:sz w:val="28"/>
          <w:szCs w:val="28"/>
          <w:lang w:eastAsia="en-US"/>
        </w:rPr>
        <w:t>з додатком</w:t>
      </w:r>
      <w:r w:rsidRPr="00FE3F08">
        <w:rPr>
          <w:rFonts w:eastAsia="Calibri"/>
          <w:sz w:val="28"/>
          <w:szCs w:val="28"/>
          <w:lang w:eastAsia="en-US"/>
        </w:rPr>
        <w:t xml:space="preserve"> 4 «Кодексу газорозподільних систем») дозволить суттєво знизити корупційні ризики та невмотивовані фінансові зобов’язання споживача при використанні приладів обліку (отримання технічних умов, виконання проектних робіт, виконання монтажних та пусконалагоджувальних робіт, введення в експлуатацію, технічне обслуговування та ремонти під час експлуатації, метрологічна повірка, </w:t>
      </w:r>
      <w:r w:rsidRPr="00FE3F08">
        <w:rPr>
          <w:rFonts w:eastAsia="Calibri"/>
          <w:sz w:val="28"/>
          <w:szCs w:val="28"/>
          <w:lang w:eastAsia="en-US"/>
        </w:rPr>
        <w:lastRenderedPageBreak/>
        <w:t xml:space="preserve">модернізація та заміна на </w:t>
      </w:r>
      <w:r>
        <w:rPr>
          <w:rFonts w:eastAsia="Calibri"/>
          <w:sz w:val="28"/>
          <w:szCs w:val="28"/>
          <w:lang w:eastAsia="en-US"/>
        </w:rPr>
        <w:t>інтелектуальні системи обліку газу</w:t>
      </w:r>
      <w:r w:rsidRPr="00FE3F08">
        <w:rPr>
          <w:rFonts w:eastAsia="Calibri"/>
          <w:sz w:val="28"/>
          <w:szCs w:val="28"/>
          <w:lang w:eastAsia="en-US"/>
        </w:rPr>
        <w:t xml:space="preserve"> в ході реалізації базового Закону України </w:t>
      </w:r>
      <w:r w:rsidR="004D433D">
        <w:rPr>
          <w:rFonts w:eastAsia="Calibri"/>
          <w:sz w:val="28"/>
          <w:szCs w:val="28"/>
          <w:lang w:eastAsia="en-US"/>
        </w:rPr>
        <w:t>«Про енергетичну ефективність» у</w:t>
      </w:r>
      <w:r w:rsidRPr="00FE3F08">
        <w:rPr>
          <w:rFonts w:eastAsia="Calibri"/>
          <w:sz w:val="28"/>
          <w:szCs w:val="28"/>
          <w:lang w:eastAsia="en-US"/>
        </w:rPr>
        <w:t xml:space="preserve"> контексті імплементації Директиви ЄС 2012/27/</w:t>
      </w:r>
      <w:proofErr w:type="spellStart"/>
      <w:r w:rsidRPr="00FE3F08">
        <w:rPr>
          <w:rFonts w:eastAsia="Calibri"/>
          <w:sz w:val="28"/>
          <w:szCs w:val="28"/>
          <w:lang w:eastAsia="en-US"/>
        </w:rPr>
        <w:t>ЄС</w:t>
      </w:r>
      <w:proofErr w:type="spellEnd"/>
      <w:r w:rsidRPr="00FE3F08">
        <w:rPr>
          <w:rFonts w:eastAsia="Calibri"/>
          <w:sz w:val="28"/>
          <w:szCs w:val="28"/>
          <w:lang w:eastAsia="en-US"/>
        </w:rPr>
        <w:t>;</w:t>
      </w:r>
    </w:p>
    <w:p w:rsidR="00665E12" w:rsidRPr="00FE3F08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F08">
        <w:rPr>
          <w:rFonts w:eastAsia="Calibri"/>
          <w:sz w:val="28"/>
          <w:szCs w:val="28"/>
          <w:lang w:eastAsia="en-US"/>
        </w:rPr>
        <w:t>– внесення до переліку прав споживачів права на безоплатне постійне, оперативне та з достатньою частотою отримання інформації про обсяги та інші показники власного споживання природного газу, в тому числі з серверів операторів</w:t>
      </w:r>
      <w:r w:rsidR="004D433D">
        <w:rPr>
          <w:rFonts w:eastAsia="Calibri"/>
          <w:sz w:val="28"/>
          <w:szCs w:val="28"/>
          <w:lang w:eastAsia="en-US"/>
        </w:rPr>
        <w:t>,</w:t>
      </w:r>
      <w:r w:rsidRPr="00FE3F08">
        <w:rPr>
          <w:rFonts w:eastAsia="Calibri"/>
          <w:sz w:val="28"/>
          <w:szCs w:val="28"/>
          <w:lang w:eastAsia="en-US"/>
        </w:rPr>
        <w:t xml:space="preserve"> у разі </w:t>
      </w:r>
      <w:r>
        <w:rPr>
          <w:rFonts w:eastAsia="Calibri"/>
          <w:sz w:val="28"/>
          <w:szCs w:val="28"/>
          <w:lang w:eastAsia="en-US"/>
        </w:rPr>
        <w:t xml:space="preserve">впровадження та </w:t>
      </w:r>
      <w:r w:rsidRPr="00FE3F08">
        <w:rPr>
          <w:rFonts w:eastAsia="Calibri"/>
          <w:sz w:val="28"/>
          <w:szCs w:val="28"/>
          <w:lang w:eastAsia="en-US"/>
        </w:rPr>
        <w:t xml:space="preserve">застосування </w:t>
      </w:r>
      <w:r>
        <w:rPr>
          <w:rFonts w:eastAsia="Calibri"/>
          <w:sz w:val="28"/>
          <w:szCs w:val="28"/>
          <w:lang w:eastAsia="en-US"/>
        </w:rPr>
        <w:t>вузлів обліку газу, обладнаних інтелектуальними системами обліку</w:t>
      </w:r>
      <w:r w:rsidRPr="00FE3F0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Це с</w:t>
      </w:r>
      <w:r w:rsidRPr="00FE3F08">
        <w:rPr>
          <w:rFonts w:eastAsia="Calibri"/>
          <w:sz w:val="28"/>
          <w:szCs w:val="28"/>
          <w:lang w:eastAsia="en-US"/>
        </w:rPr>
        <w:t>творить стимули та забезпечить доступ споживача до інформації щодо споживання газу, аналізу споживання та, в кінцевому результаті, ощадливого його використання, оскільки споживачі отримають зворотній зв'язок від наслідків інвестування в енергетичну ефективність;</w:t>
      </w:r>
    </w:p>
    <w:p w:rsidR="00665E12" w:rsidRPr="00FE3F08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F08">
        <w:rPr>
          <w:rFonts w:eastAsia="Calibri"/>
          <w:sz w:val="28"/>
          <w:szCs w:val="28"/>
          <w:lang w:eastAsia="en-US"/>
        </w:rPr>
        <w:t xml:space="preserve">– визначення в якості умови постачання природного газу </w:t>
      </w:r>
      <w:r w:rsidR="004D433D">
        <w:rPr>
          <w:rFonts w:eastAsia="Calibri"/>
          <w:sz w:val="28"/>
          <w:szCs w:val="28"/>
          <w:lang w:eastAsia="en-US"/>
        </w:rPr>
        <w:t xml:space="preserve">- </w:t>
      </w:r>
      <w:r w:rsidRPr="00FE3F08">
        <w:rPr>
          <w:rFonts w:eastAsia="Calibri"/>
          <w:sz w:val="28"/>
          <w:szCs w:val="28"/>
          <w:lang w:eastAsia="en-US"/>
        </w:rPr>
        <w:t xml:space="preserve">наявність вузла обліку природного газу в операторів газотранспортної та газорозподільної систем; </w:t>
      </w:r>
    </w:p>
    <w:p w:rsidR="00665E12" w:rsidRDefault="00665E12" w:rsidP="00665E12">
      <w:pPr>
        <w:spacing w:before="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F08">
        <w:rPr>
          <w:rFonts w:eastAsia="Calibri"/>
          <w:sz w:val="28"/>
          <w:szCs w:val="28"/>
          <w:lang w:eastAsia="en-US"/>
        </w:rPr>
        <w:t xml:space="preserve">– гарантування </w:t>
      </w:r>
      <w:r w:rsidR="004D433D">
        <w:rPr>
          <w:rFonts w:eastAsia="Calibri"/>
          <w:sz w:val="28"/>
          <w:szCs w:val="28"/>
          <w:lang w:eastAsia="en-US"/>
        </w:rPr>
        <w:t>(</w:t>
      </w:r>
      <w:proofErr w:type="spellStart"/>
      <w:r w:rsidR="004D433D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>заохочення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 w:rsidRPr="00FE3F08">
        <w:rPr>
          <w:rFonts w:eastAsia="Calibri"/>
          <w:sz w:val="28"/>
          <w:szCs w:val="28"/>
          <w:lang w:eastAsia="en-US"/>
        </w:rPr>
        <w:t xml:space="preserve">державою впровадження та використання </w:t>
      </w:r>
      <w:r>
        <w:rPr>
          <w:rFonts w:eastAsia="Calibri"/>
          <w:sz w:val="28"/>
          <w:szCs w:val="28"/>
          <w:lang w:eastAsia="en-US"/>
        </w:rPr>
        <w:t>апаратних засобів обліку газу</w:t>
      </w:r>
      <w:r w:rsidRPr="00FE3F08">
        <w:rPr>
          <w:rFonts w:eastAsia="Calibri"/>
          <w:sz w:val="28"/>
          <w:szCs w:val="28"/>
          <w:lang w:eastAsia="en-US"/>
        </w:rPr>
        <w:t xml:space="preserve">, </w:t>
      </w:r>
      <w:r w:rsidRPr="00A54B22">
        <w:rPr>
          <w:rFonts w:eastAsia="Calibri"/>
          <w:sz w:val="28"/>
          <w:szCs w:val="28"/>
          <w:lang w:eastAsia="en-US"/>
        </w:rPr>
        <w:t>зокрема тих, що забезпечують можливість споживача активно управляти власним споживанням</w:t>
      </w:r>
      <w:r>
        <w:rPr>
          <w:rFonts w:eastAsia="Calibri"/>
          <w:sz w:val="28"/>
          <w:szCs w:val="28"/>
          <w:lang w:eastAsia="en-US"/>
        </w:rPr>
        <w:t>,</w:t>
      </w:r>
    </w:p>
    <w:p w:rsidR="00665E12" w:rsidRDefault="00665E12" w:rsidP="002A5A8E">
      <w:pPr>
        <w:ind w:firstLine="709"/>
        <w:jc w:val="both"/>
        <w:rPr>
          <w:sz w:val="28"/>
          <w:szCs w:val="28"/>
          <w:lang w:eastAsia="ru-RU"/>
        </w:rPr>
      </w:pPr>
    </w:p>
    <w:p w:rsidR="00B20942" w:rsidRPr="004D433D" w:rsidRDefault="004D433D" w:rsidP="004D433D">
      <w:pPr>
        <w:ind w:firstLine="709"/>
        <w:jc w:val="center"/>
        <w:rPr>
          <w:b/>
          <w:sz w:val="28"/>
          <w:szCs w:val="28"/>
          <w:lang w:eastAsia="ru-RU"/>
        </w:rPr>
      </w:pPr>
      <w:r w:rsidRPr="004D433D">
        <w:rPr>
          <w:b/>
          <w:sz w:val="28"/>
          <w:szCs w:val="28"/>
          <w:lang w:eastAsia="ru-RU"/>
        </w:rPr>
        <w:t>ПРОПОНУЄМО:</w:t>
      </w:r>
    </w:p>
    <w:p w:rsidR="00BF07A1" w:rsidRDefault="008F5B16" w:rsidP="00BF07A1">
      <w:pPr>
        <w:spacing w:before="60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F07A1">
        <w:rPr>
          <w:rFonts w:eastAsia="Calibri"/>
          <w:sz w:val="28"/>
          <w:szCs w:val="28"/>
          <w:lang w:eastAsia="en-US"/>
        </w:rPr>
        <w:t>У</w:t>
      </w:r>
      <w:r w:rsidR="00EB5321">
        <w:rPr>
          <w:rFonts w:eastAsia="Calibri"/>
          <w:sz w:val="28"/>
          <w:szCs w:val="28"/>
          <w:lang w:eastAsia="en-US"/>
        </w:rPr>
        <w:t xml:space="preserve"> порядку виконання статей 2, 3, 4 Закону України </w:t>
      </w:r>
      <w:r w:rsidR="00BF07A1">
        <w:rPr>
          <w:rFonts w:eastAsia="Calibri"/>
          <w:sz w:val="28"/>
          <w:szCs w:val="28"/>
          <w:lang w:eastAsia="en-US"/>
        </w:rPr>
        <w:t>«</w:t>
      </w:r>
      <w:r w:rsidR="00BF07A1" w:rsidRPr="00EB4DBC">
        <w:rPr>
          <w:rFonts w:eastAsia="Calibri"/>
          <w:sz w:val="28"/>
          <w:szCs w:val="28"/>
          <w:lang w:eastAsia="en-US"/>
        </w:rPr>
        <w:t xml:space="preserve">Про </w:t>
      </w:r>
      <w:r w:rsidR="00BF07A1" w:rsidRPr="00BF07A1">
        <w:rPr>
          <w:rFonts w:eastAsia="Calibri"/>
          <w:sz w:val="28"/>
          <w:szCs w:val="28"/>
          <w:lang w:eastAsia="en-US"/>
        </w:rPr>
        <w:t>Національну комісію, що здійснює державне регулювання у сферах енергетики та комунальних послуг</w:t>
      </w:r>
      <w:r w:rsidR="00BF07A1" w:rsidRPr="00EB4DBC">
        <w:rPr>
          <w:rFonts w:eastAsia="Calibri"/>
          <w:sz w:val="28"/>
          <w:szCs w:val="28"/>
          <w:lang w:eastAsia="en-US"/>
        </w:rPr>
        <w:t>»</w:t>
      </w:r>
      <w:r w:rsidR="00BF07A1">
        <w:rPr>
          <w:rFonts w:eastAsia="Calibri"/>
          <w:sz w:val="28"/>
          <w:szCs w:val="28"/>
          <w:lang w:eastAsia="en-US"/>
        </w:rPr>
        <w:t xml:space="preserve">, НКРЕКП </w:t>
      </w:r>
      <w:r w:rsidR="00EB5321">
        <w:rPr>
          <w:rFonts w:eastAsia="Calibri"/>
          <w:sz w:val="28"/>
          <w:szCs w:val="28"/>
          <w:lang w:eastAsia="en-US"/>
        </w:rPr>
        <w:t>привести у відповідність до Закону України «Про ринок природного газу»</w:t>
      </w:r>
      <w:r w:rsidR="00BF07A1" w:rsidRPr="0036412E">
        <w:rPr>
          <w:sz w:val="28"/>
          <w:szCs w:val="28"/>
          <w:lang w:eastAsia="ru-RU"/>
        </w:rPr>
        <w:t xml:space="preserve"> постанов</w:t>
      </w:r>
      <w:r w:rsidR="00BF07A1">
        <w:rPr>
          <w:sz w:val="28"/>
          <w:szCs w:val="28"/>
          <w:lang w:eastAsia="ru-RU"/>
        </w:rPr>
        <w:t>у</w:t>
      </w:r>
      <w:r w:rsidR="00BF07A1" w:rsidRPr="0036412E">
        <w:rPr>
          <w:sz w:val="28"/>
          <w:szCs w:val="28"/>
          <w:lang w:eastAsia="ru-RU"/>
        </w:rPr>
        <w:t xml:space="preserve"> НКРЕКП </w:t>
      </w:r>
      <w:r w:rsidR="00BF07A1">
        <w:rPr>
          <w:sz w:val="28"/>
          <w:szCs w:val="28"/>
          <w:lang w:eastAsia="ru-RU"/>
        </w:rPr>
        <w:t>від</w:t>
      </w:r>
      <w:r w:rsidR="00BF07A1" w:rsidRPr="0036412E">
        <w:rPr>
          <w:sz w:val="28"/>
          <w:szCs w:val="28"/>
          <w:lang w:eastAsia="ru-RU"/>
        </w:rPr>
        <w:t xml:space="preserve"> </w:t>
      </w:r>
      <w:r w:rsidR="00A12F1C">
        <w:rPr>
          <w:sz w:val="28"/>
          <w:szCs w:val="28"/>
          <w:lang w:eastAsia="ru-RU"/>
        </w:rPr>
        <w:t>30.09.2015</w:t>
      </w:r>
      <w:r w:rsidR="00BF07A1">
        <w:rPr>
          <w:sz w:val="28"/>
          <w:szCs w:val="28"/>
          <w:lang w:eastAsia="ru-RU"/>
        </w:rPr>
        <w:t xml:space="preserve"> </w:t>
      </w:r>
      <w:r w:rsidR="00BF07A1" w:rsidRPr="0036412E">
        <w:rPr>
          <w:sz w:val="28"/>
          <w:szCs w:val="28"/>
          <w:lang w:eastAsia="ru-RU"/>
        </w:rPr>
        <w:t>№ 2494 «Про затвердження Кодексу газорозподільних систем»</w:t>
      </w:r>
      <w:r w:rsidR="00A12F1C">
        <w:rPr>
          <w:sz w:val="28"/>
          <w:szCs w:val="28"/>
          <w:lang w:eastAsia="ru-RU"/>
        </w:rPr>
        <w:t xml:space="preserve"> та внести відповідні зміни у Кодекс</w:t>
      </w:r>
      <w:r w:rsidR="00BF07A1">
        <w:rPr>
          <w:sz w:val="28"/>
          <w:szCs w:val="28"/>
          <w:lang w:eastAsia="ru-RU"/>
        </w:rPr>
        <w:t xml:space="preserve"> </w:t>
      </w:r>
      <w:r w:rsidR="00D01D89" w:rsidRPr="0036412E">
        <w:rPr>
          <w:sz w:val="28"/>
          <w:szCs w:val="28"/>
          <w:lang w:eastAsia="ru-RU"/>
        </w:rPr>
        <w:t>газорозподільних систем</w:t>
      </w:r>
      <w:r w:rsidR="00172BED">
        <w:rPr>
          <w:sz w:val="28"/>
          <w:szCs w:val="28"/>
          <w:lang w:eastAsia="ru-RU"/>
        </w:rPr>
        <w:t>.</w:t>
      </w:r>
    </w:p>
    <w:p w:rsidR="008F5B16" w:rsidRDefault="008F5B16" w:rsidP="00BF07A1">
      <w:pPr>
        <w:spacing w:before="6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Оприлюднити на офіційному сайті Регулятора нормативний</w:t>
      </w:r>
      <w:r w:rsidR="00A12F1C">
        <w:rPr>
          <w:sz w:val="28"/>
          <w:szCs w:val="28"/>
          <w:lang w:eastAsia="ru-RU"/>
        </w:rPr>
        <w:t xml:space="preserve"> документ, яким НКРЕКП створив р</w:t>
      </w:r>
      <w:r>
        <w:rPr>
          <w:sz w:val="28"/>
          <w:szCs w:val="28"/>
          <w:lang w:eastAsia="ru-RU"/>
        </w:rPr>
        <w:t>обочу групу з вирішення проблемни</w:t>
      </w:r>
      <w:r w:rsidR="00A12F1C">
        <w:rPr>
          <w:sz w:val="28"/>
          <w:szCs w:val="28"/>
          <w:lang w:eastAsia="ru-RU"/>
        </w:rPr>
        <w:t>х питань обліку природного газу</w:t>
      </w:r>
      <w:r>
        <w:rPr>
          <w:sz w:val="28"/>
          <w:szCs w:val="28"/>
          <w:lang w:eastAsia="ru-RU"/>
        </w:rPr>
        <w:t>, та включити представник</w:t>
      </w:r>
      <w:r w:rsidR="00C00A8C"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Житомирської обл</w:t>
      </w:r>
      <w:r w:rsidR="00A12F1C">
        <w:rPr>
          <w:sz w:val="28"/>
          <w:szCs w:val="28"/>
          <w:lang w:eastAsia="ru-RU"/>
        </w:rPr>
        <w:t>асної ради у склад</w:t>
      </w:r>
      <w:r w:rsidR="00B62D9C">
        <w:rPr>
          <w:sz w:val="28"/>
          <w:szCs w:val="28"/>
          <w:lang w:eastAsia="ru-RU"/>
        </w:rPr>
        <w:t xml:space="preserve"> створеної р</w:t>
      </w:r>
      <w:r>
        <w:rPr>
          <w:sz w:val="28"/>
          <w:szCs w:val="28"/>
          <w:lang w:eastAsia="ru-RU"/>
        </w:rPr>
        <w:t>обочої групи.</w:t>
      </w:r>
    </w:p>
    <w:p w:rsidR="004D433D" w:rsidRDefault="004D433D" w:rsidP="00BF07A1">
      <w:pPr>
        <w:spacing w:before="60"/>
        <w:ind w:firstLine="567"/>
        <w:jc w:val="both"/>
        <w:rPr>
          <w:sz w:val="28"/>
          <w:szCs w:val="28"/>
          <w:lang w:eastAsia="ru-RU"/>
        </w:rPr>
      </w:pPr>
    </w:p>
    <w:p w:rsidR="008F5B16" w:rsidRDefault="002F3893" w:rsidP="00592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Звернення прийнято на шістнадцятій сесії обласної ради сьомого скликання 31 травня 2018 року.</w:t>
      </w:r>
    </w:p>
    <w:p w:rsidR="004D433D" w:rsidRDefault="004D433D" w:rsidP="00592FCC">
      <w:pPr>
        <w:ind w:firstLine="567"/>
        <w:jc w:val="both"/>
        <w:rPr>
          <w:sz w:val="28"/>
          <w:szCs w:val="28"/>
        </w:rPr>
      </w:pPr>
    </w:p>
    <w:p w:rsidR="008F5B16" w:rsidRDefault="002A5A8E" w:rsidP="0073214B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дор</w:t>
      </w:r>
      <w:r w:rsidR="0073214B">
        <w:rPr>
          <w:sz w:val="28"/>
          <w:szCs w:val="28"/>
        </w:rPr>
        <w:t>ученням депутатів обласної ради</w:t>
      </w:r>
    </w:p>
    <w:p w:rsidR="00C31CB3" w:rsidRDefault="00C31CB3" w:rsidP="0073214B">
      <w:pPr>
        <w:jc w:val="both"/>
        <w:rPr>
          <w:sz w:val="28"/>
          <w:szCs w:val="28"/>
        </w:rPr>
      </w:pPr>
    </w:p>
    <w:p w:rsidR="00C23B25" w:rsidRDefault="00C23B25" w:rsidP="0073214B">
      <w:pPr>
        <w:jc w:val="both"/>
        <w:rPr>
          <w:sz w:val="28"/>
          <w:szCs w:val="28"/>
        </w:rPr>
      </w:pPr>
    </w:p>
    <w:p w:rsidR="00260603" w:rsidRPr="002F3893" w:rsidRDefault="002A5A8E" w:rsidP="007C0B2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4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45B">
        <w:rPr>
          <w:sz w:val="28"/>
          <w:szCs w:val="28"/>
        </w:rPr>
        <w:t>В.В. Ширма</w:t>
      </w:r>
    </w:p>
    <w:sectPr w:rsidR="00260603" w:rsidRPr="002F3893" w:rsidSect="00AF1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85" w:rsidRDefault="00563F85" w:rsidP="00AF1F86">
      <w:r>
        <w:separator/>
      </w:r>
    </w:p>
  </w:endnote>
  <w:endnote w:type="continuationSeparator" w:id="0">
    <w:p w:rsidR="00563F85" w:rsidRDefault="00563F85" w:rsidP="00AF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85" w:rsidRDefault="00563F85" w:rsidP="00AF1F86">
      <w:r>
        <w:separator/>
      </w:r>
    </w:p>
  </w:footnote>
  <w:footnote w:type="continuationSeparator" w:id="0">
    <w:p w:rsidR="00563F85" w:rsidRDefault="00563F85" w:rsidP="00AF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436931"/>
      <w:docPartObj>
        <w:docPartGallery w:val="Page Numbers (Top of Page)"/>
        <w:docPartUnique/>
      </w:docPartObj>
    </w:sdtPr>
    <w:sdtEndPr/>
    <w:sdtContent>
      <w:p w:rsidR="00AF1F86" w:rsidRDefault="00AF1F86" w:rsidP="00AF1F8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23" w:rsidRPr="00916E2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7FE9"/>
    <w:multiLevelType w:val="hybridMultilevel"/>
    <w:tmpl w:val="89C84712"/>
    <w:lvl w:ilvl="0" w:tplc="B94E8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B24409"/>
    <w:multiLevelType w:val="hybridMultilevel"/>
    <w:tmpl w:val="28C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D7E0C"/>
    <w:multiLevelType w:val="hybridMultilevel"/>
    <w:tmpl w:val="97FE896E"/>
    <w:lvl w:ilvl="0" w:tplc="002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94"/>
    <w:rsid w:val="0003545B"/>
    <w:rsid w:val="00071EF0"/>
    <w:rsid w:val="000764B0"/>
    <w:rsid w:val="00080C9F"/>
    <w:rsid w:val="00093333"/>
    <w:rsid w:val="000964D5"/>
    <w:rsid w:val="000C2C56"/>
    <w:rsid w:val="000C3E26"/>
    <w:rsid w:val="000D12ED"/>
    <w:rsid w:val="000E7A2F"/>
    <w:rsid w:val="00103235"/>
    <w:rsid w:val="001121AD"/>
    <w:rsid w:val="001255AA"/>
    <w:rsid w:val="00127D9A"/>
    <w:rsid w:val="00130F38"/>
    <w:rsid w:val="00140081"/>
    <w:rsid w:val="00145EE0"/>
    <w:rsid w:val="0015283F"/>
    <w:rsid w:val="001571AA"/>
    <w:rsid w:val="0015731C"/>
    <w:rsid w:val="001624B8"/>
    <w:rsid w:val="00172BED"/>
    <w:rsid w:val="00176943"/>
    <w:rsid w:val="0018260B"/>
    <w:rsid w:val="00184267"/>
    <w:rsid w:val="001900DA"/>
    <w:rsid w:val="001951AA"/>
    <w:rsid w:val="0019750D"/>
    <w:rsid w:val="001A4336"/>
    <w:rsid w:val="001C2899"/>
    <w:rsid w:val="001D394C"/>
    <w:rsid w:val="001D5717"/>
    <w:rsid w:val="001E5EDB"/>
    <w:rsid w:val="001F4B75"/>
    <w:rsid w:val="0020135A"/>
    <w:rsid w:val="00213CCA"/>
    <w:rsid w:val="00222EDB"/>
    <w:rsid w:val="00236620"/>
    <w:rsid w:val="00257C7C"/>
    <w:rsid w:val="00260603"/>
    <w:rsid w:val="002607FC"/>
    <w:rsid w:val="00266B73"/>
    <w:rsid w:val="00271624"/>
    <w:rsid w:val="002753B8"/>
    <w:rsid w:val="002A156F"/>
    <w:rsid w:val="002A1D0C"/>
    <w:rsid w:val="002A5A8E"/>
    <w:rsid w:val="002A6C56"/>
    <w:rsid w:val="002B0A03"/>
    <w:rsid w:val="002D0A30"/>
    <w:rsid w:val="002F2B4D"/>
    <w:rsid w:val="002F3893"/>
    <w:rsid w:val="002F403A"/>
    <w:rsid w:val="002F51E4"/>
    <w:rsid w:val="003244E4"/>
    <w:rsid w:val="003306AC"/>
    <w:rsid w:val="00331B7D"/>
    <w:rsid w:val="00340D87"/>
    <w:rsid w:val="003564C8"/>
    <w:rsid w:val="00357518"/>
    <w:rsid w:val="0036041D"/>
    <w:rsid w:val="003616E0"/>
    <w:rsid w:val="0036412E"/>
    <w:rsid w:val="00385F7A"/>
    <w:rsid w:val="00390717"/>
    <w:rsid w:val="003A4452"/>
    <w:rsid w:val="003B516D"/>
    <w:rsid w:val="003C6494"/>
    <w:rsid w:val="003D5B9B"/>
    <w:rsid w:val="003F6D96"/>
    <w:rsid w:val="00411B85"/>
    <w:rsid w:val="0041688C"/>
    <w:rsid w:val="004509EB"/>
    <w:rsid w:val="004571C2"/>
    <w:rsid w:val="004670D3"/>
    <w:rsid w:val="004978E0"/>
    <w:rsid w:val="004C40F4"/>
    <w:rsid w:val="004C4FBD"/>
    <w:rsid w:val="004C580F"/>
    <w:rsid w:val="004D2602"/>
    <w:rsid w:val="004D2EB6"/>
    <w:rsid w:val="004D433D"/>
    <w:rsid w:val="004F147D"/>
    <w:rsid w:val="004F3465"/>
    <w:rsid w:val="00522060"/>
    <w:rsid w:val="005228F1"/>
    <w:rsid w:val="0054527C"/>
    <w:rsid w:val="00547F1E"/>
    <w:rsid w:val="005560AF"/>
    <w:rsid w:val="005608F5"/>
    <w:rsid w:val="00563F85"/>
    <w:rsid w:val="00566417"/>
    <w:rsid w:val="00566986"/>
    <w:rsid w:val="00566AB9"/>
    <w:rsid w:val="00584B80"/>
    <w:rsid w:val="00590DC2"/>
    <w:rsid w:val="0059185F"/>
    <w:rsid w:val="00592FCC"/>
    <w:rsid w:val="005C220B"/>
    <w:rsid w:val="005C4B50"/>
    <w:rsid w:val="005D218F"/>
    <w:rsid w:val="005F0776"/>
    <w:rsid w:val="00601B75"/>
    <w:rsid w:val="00610281"/>
    <w:rsid w:val="0061110C"/>
    <w:rsid w:val="00611AB1"/>
    <w:rsid w:val="00620582"/>
    <w:rsid w:val="0062597F"/>
    <w:rsid w:val="00665E12"/>
    <w:rsid w:val="00666614"/>
    <w:rsid w:val="00673177"/>
    <w:rsid w:val="006A0F60"/>
    <w:rsid w:val="006A1921"/>
    <w:rsid w:val="006A3D69"/>
    <w:rsid w:val="006A597E"/>
    <w:rsid w:val="006C70DF"/>
    <w:rsid w:val="006E0AF3"/>
    <w:rsid w:val="006F01B3"/>
    <w:rsid w:val="006F4EB8"/>
    <w:rsid w:val="00713E45"/>
    <w:rsid w:val="0071728B"/>
    <w:rsid w:val="00727400"/>
    <w:rsid w:val="0073214B"/>
    <w:rsid w:val="00743F75"/>
    <w:rsid w:val="00746AB8"/>
    <w:rsid w:val="00750593"/>
    <w:rsid w:val="00751257"/>
    <w:rsid w:val="00784070"/>
    <w:rsid w:val="00796D1B"/>
    <w:rsid w:val="007A203D"/>
    <w:rsid w:val="007B3A98"/>
    <w:rsid w:val="007C0B2B"/>
    <w:rsid w:val="007C50BF"/>
    <w:rsid w:val="00803635"/>
    <w:rsid w:val="00814F32"/>
    <w:rsid w:val="008275C3"/>
    <w:rsid w:val="00833534"/>
    <w:rsid w:val="00841F1D"/>
    <w:rsid w:val="00845C56"/>
    <w:rsid w:val="00850F43"/>
    <w:rsid w:val="00862964"/>
    <w:rsid w:val="008708B0"/>
    <w:rsid w:val="008845D1"/>
    <w:rsid w:val="00890BF2"/>
    <w:rsid w:val="008A0C5C"/>
    <w:rsid w:val="008A2668"/>
    <w:rsid w:val="008D02B8"/>
    <w:rsid w:val="008E3ADA"/>
    <w:rsid w:val="008F5B16"/>
    <w:rsid w:val="0090701F"/>
    <w:rsid w:val="00916E23"/>
    <w:rsid w:val="009177DC"/>
    <w:rsid w:val="009226AD"/>
    <w:rsid w:val="009367D2"/>
    <w:rsid w:val="00963313"/>
    <w:rsid w:val="009649B5"/>
    <w:rsid w:val="009739BC"/>
    <w:rsid w:val="00984CE3"/>
    <w:rsid w:val="009961F8"/>
    <w:rsid w:val="009A1F4C"/>
    <w:rsid w:val="009B2FC1"/>
    <w:rsid w:val="009C537D"/>
    <w:rsid w:val="009C6C2D"/>
    <w:rsid w:val="009D051A"/>
    <w:rsid w:val="009D12BA"/>
    <w:rsid w:val="009E128C"/>
    <w:rsid w:val="009E2328"/>
    <w:rsid w:val="009E5EBD"/>
    <w:rsid w:val="00A12DE9"/>
    <w:rsid w:val="00A12F1C"/>
    <w:rsid w:val="00A2034D"/>
    <w:rsid w:val="00A32CA6"/>
    <w:rsid w:val="00A35F02"/>
    <w:rsid w:val="00A515F7"/>
    <w:rsid w:val="00A53F4E"/>
    <w:rsid w:val="00A54B22"/>
    <w:rsid w:val="00A557CA"/>
    <w:rsid w:val="00A665D5"/>
    <w:rsid w:val="00A834C4"/>
    <w:rsid w:val="00A85AAC"/>
    <w:rsid w:val="00A86D73"/>
    <w:rsid w:val="00A96768"/>
    <w:rsid w:val="00AA15AD"/>
    <w:rsid w:val="00AA2DD9"/>
    <w:rsid w:val="00AA7D0B"/>
    <w:rsid w:val="00AB265F"/>
    <w:rsid w:val="00AB6294"/>
    <w:rsid w:val="00AC3B91"/>
    <w:rsid w:val="00AF1F86"/>
    <w:rsid w:val="00B0472D"/>
    <w:rsid w:val="00B13C2C"/>
    <w:rsid w:val="00B20942"/>
    <w:rsid w:val="00B2320B"/>
    <w:rsid w:val="00B3270E"/>
    <w:rsid w:val="00B32F86"/>
    <w:rsid w:val="00B37BA3"/>
    <w:rsid w:val="00B54E79"/>
    <w:rsid w:val="00B612DA"/>
    <w:rsid w:val="00B61B99"/>
    <w:rsid w:val="00B62D9C"/>
    <w:rsid w:val="00B67EB9"/>
    <w:rsid w:val="00B765C0"/>
    <w:rsid w:val="00B9138C"/>
    <w:rsid w:val="00B93586"/>
    <w:rsid w:val="00BA0840"/>
    <w:rsid w:val="00BA0F30"/>
    <w:rsid w:val="00BB7BB3"/>
    <w:rsid w:val="00BC00C7"/>
    <w:rsid w:val="00BC6818"/>
    <w:rsid w:val="00BD3E0C"/>
    <w:rsid w:val="00BD4432"/>
    <w:rsid w:val="00BE5C9A"/>
    <w:rsid w:val="00BE5DB8"/>
    <w:rsid w:val="00BE6B5D"/>
    <w:rsid w:val="00BF07A1"/>
    <w:rsid w:val="00BF1FBC"/>
    <w:rsid w:val="00BF301F"/>
    <w:rsid w:val="00C00A8C"/>
    <w:rsid w:val="00C0143D"/>
    <w:rsid w:val="00C1080B"/>
    <w:rsid w:val="00C21341"/>
    <w:rsid w:val="00C23B25"/>
    <w:rsid w:val="00C31CB3"/>
    <w:rsid w:val="00C32A5F"/>
    <w:rsid w:val="00C37C7A"/>
    <w:rsid w:val="00C41949"/>
    <w:rsid w:val="00C47ECC"/>
    <w:rsid w:val="00C51F92"/>
    <w:rsid w:val="00C64B65"/>
    <w:rsid w:val="00C732B1"/>
    <w:rsid w:val="00C86415"/>
    <w:rsid w:val="00C95523"/>
    <w:rsid w:val="00CA4CA8"/>
    <w:rsid w:val="00CA7C66"/>
    <w:rsid w:val="00CC04D9"/>
    <w:rsid w:val="00CC177D"/>
    <w:rsid w:val="00CC2988"/>
    <w:rsid w:val="00CC547D"/>
    <w:rsid w:val="00CC5625"/>
    <w:rsid w:val="00CD0430"/>
    <w:rsid w:val="00CD1943"/>
    <w:rsid w:val="00CD7D3C"/>
    <w:rsid w:val="00CE36AA"/>
    <w:rsid w:val="00CF40C5"/>
    <w:rsid w:val="00CF72DC"/>
    <w:rsid w:val="00D01D89"/>
    <w:rsid w:val="00D04320"/>
    <w:rsid w:val="00D137F7"/>
    <w:rsid w:val="00D23883"/>
    <w:rsid w:val="00D36D6A"/>
    <w:rsid w:val="00D370BA"/>
    <w:rsid w:val="00D5570C"/>
    <w:rsid w:val="00D60743"/>
    <w:rsid w:val="00D61998"/>
    <w:rsid w:val="00D67DF4"/>
    <w:rsid w:val="00D971FE"/>
    <w:rsid w:val="00DB48E2"/>
    <w:rsid w:val="00DB7B88"/>
    <w:rsid w:val="00DC293F"/>
    <w:rsid w:val="00DD6D3B"/>
    <w:rsid w:val="00DF7626"/>
    <w:rsid w:val="00E15ABE"/>
    <w:rsid w:val="00E23B01"/>
    <w:rsid w:val="00E31E6A"/>
    <w:rsid w:val="00E34545"/>
    <w:rsid w:val="00E453AB"/>
    <w:rsid w:val="00E45B5E"/>
    <w:rsid w:val="00E476A0"/>
    <w:rsid w:val="00E61E3D"/>
    <w:rsid w:val="00E61E83"/>
    <w:rsid w:val="00E8139A"/>
    <w:rsid w:val="00E872BD"/>
    <w:rsid w:val="00E9338A"/>
    <w:rsid w:val="00E9642F"/>
    <w:rsid w:val="00EA37C0"/>
    <w:rsid w:val="00EB4DBC"/>
    <w:rsid w:val="00EB4E8F"/>
    <w:rsid w:val="00EB5321"/>
    <w:rsid w:val="00EC5689"/>
    <w:rsid w:val="00ED2C24"/>
    <w:rsid w:val="00ED3A41"/>
    <w:rsid w:val="00EF09A1"/>
    <w:rsid w:val="00EF1A8E"/>
    <w:rsid w:val="00EF1F23"/>
    <w:rsid w:val="00EF511D"/>
    <w:rsid w:val="00EF7FE9"/>
    <w:rsid w:val="00F5217C"/>
    <w:rsid w:val="00F66C8E"/>
    <w:rsid w:val="00F76724"/>
    <w:rsid w:val="00F80F3E"/>
    <w:rsid w:val="00F90569"/>
    <w:rsid w:val="00F90ED1"/>
    <w:rsid w:val="00F97AA8"/>
    <w:rsid w:val="00FB7E01"/>
    <w:rsid w:val="00FC5902"/>
    <w:rsid w:val="00FD1911"/>
    <w:rsid w:val="00FE0C83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566AB9"/>
    <w:pPr>
      <w:keepNext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566AB9"/>
    <w:pPr>
      <w:keepNext/>
      <w:jc w:val="center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66AB9"/>
    <w:pPr>
      <w:keepNext/>
      <w:jc w:val="center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6AB9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F01B3"/>
    <w:rPr>
      <w:rFonts w:ascii="Tahoma" w:hAnsi="Tahoma" w:cs="Tahoma"/>
      <w:sz w:val="16"/>
      <w:szCs w:val="16"/>
    </w:rPr>
  </w:style>
  <w:style w:type="character" w:styleId="a5">
    <w:name w:val="Hyperlink"/>
    <w:rsid w:val="00B13C2C"/>
    <w:rPr>
      <w:color w:val="0000FF"/>
      <w:u w:val="single"/>
    </w:rPr>
  </w:style>
  <w:style w:type="table" w:styleId="a6">
    <w:name w:val="Table Grid"/>
    <w:basedOn w:val="a1"/>
    <w:rsid w:val="0010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 Знак"/>
    <w:basedOn w:val="a"/>
    <w:rsid w:val="000964D5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226AD"/>
    <w:rPr>
      <w:rFonts w:ascii="Verdana" w:eastAsia="Batang" w:hAnsi="Verdana" w:cs="Verdana"/>
      <w:sz w:val="20"/>
      <w:szCs w:val="20"/>
      <w:lang w:val="en-US" w:eastAsia="en-US"/>
    </w:rPr>
  </w:style>
  <w:style w:type="paragraph" w:styleId="a9">
    <w:name w:val="caption"/>
    <w:basedOn w:val="a"/>
    <w:next w:val="a"/>
    <w:uiPriority w:val="99"/>
    <w:qFormat/>
    <w:rsid w:val="00E61E83"/>
    <w:pPr>
      <w:widowControl w:val="0"/>
      <w:jc w:val="center"/>
    </w:pPr>
    <w:rPr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uiPriority w:val="99"/>
    <w:rsid w:val="00E61E83"/>
    <w:pPr>
      <w:keepNext/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11">
    <w:name w:val="Знак Знак Знак Знак1"/>
    <w:basedOn w:val="a"/>
    <w:rsid w:val="00620582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6C70DF"/>
    <w:rPr>
      <w:rFonts w:ascii="Verdana" w:eastAsia="MS Mincho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390717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8E3ADA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8E3ADA"/>
  </w:style>
  <w:style w:type="paragraph" w:styleId="ab">
    <w:name w:val="List Paragraph"/>
    <w:basedOn w:val="a"/>
    <w:uiPriority w:val="34"/>
    <w:qFormat/>
    <w:rsid w:val="007512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F1F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1F86"/>
    <w:rPr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F1F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1F86"/>
    <w:rPr>
      <w:sz w:val="24"/>
      <w:szCs w:val="24"/>
      <w:lang w:val="uk-UA" w:eastAsia="uk-UA"/>
    </w:rPr>
  </w:style>
  <w:style w:type="character" w:customStyle="1" w:styleId="rvts37">
    <w:name w:val="rvts37"/>
    <w:basedOn w:val="a0"/>
    <w:rsid w:val="0036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566AB9"/>
    <w:pPr>
      <w:keepNext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566AB9"/>
    <w:pPr>
      <w:keepNext/>
      <w:jc w:val="center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66AB9"/>
    <w:pPr>
      <w:keepNext/>
      <w:jc w:val="center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6AB9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F01B3"/>
    <w:rPr>
      <w:rFonts w:ascii="Tahoma" w:hAnsi="Tahoma" w:cs="Tahoma"/>
      <w:sz w:val="16"/>
      <w:szCs w:val="16"/>
    </w:rPr>
  </w:style>
  <w:style w:type="character" w:styleId="a5">
    <w:name w:val="Hyperlink"/>
    <w:rsid w:val="00B13C2C"/>
    <w:rPr>
      <w:color w:val="0000FF"/>
      <w:u w:val="single"/>
    </w:rPr>
  </w:style>
  <w:style w:type="table" w:styleId="a6">
    <w:name w:val="Table Grid"/>
    <w:basedOn w:val="a1"/>
    <w:rsid w:val="0010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 Знак"/>
    <w:basedOn w:val="a"/>
    <w:rsid w:val="000964D5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226AD"/>
    <w:rPr>
      <w:rFonts w:ascii="Verdana" w:eastAsia="Batang" w:hAnsi="Verdana" w:cs="Verdana"/>
      <w:sz w:val="20"/>
      <w:szCs w:val="20"/>
      <w:lang w:val="en-US" w:eastAsia="en-US"/>
    </w:rPr>
  </w:style>
  <w:style w:type="paragraph" w:styleId="a9">
    <w:name w:val="caption"/>
    <w:basedOn w:val="a"/>
    <w:next w:val="a"/>
    <w:uiPriority w:val="99"/>
    <w:qFormat/>
    <w:rsid w:val="00E61E83"/>
    <w:pPr>
      <w:widowControl w:val="0"/>
      <w:jc w:val="center"/>
    </w:pPr>
    <w:rPr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uiPriority w:val="99"/>
    <w:rsid w:val="00E61E83"/>
    <w:pPr>
      <w:keepNext/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11">
    <w:name w:val="Знак Знак Знак Знак1"/>
    <w:basedOn w:val="a"/>
    <w:rsid w:val="00620582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6C70DF"/>
    <w:rPr>
      <w:rFonts w:ascii="Verdana" w:eastAsia="MS Mincho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390717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8E3ADA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8E3ADA"/>
  </w:style>
  <w:style w:type="paragraph" w:styleId="ab">
    <w:name w:val="List Paragraph"/>
    <w:basedOn w:val="a"/>
    <w:uiPriority w:val="34"/>
    <w:qFormat/>
    <w:rsid w:val="007512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F1F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1F86"/>
    <w:rPr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F1F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1F86"/>
    <w:rPr>
      <w:sz w:val="24"/>
      <w:szCs w:val="24"/>
      <w:lang w:val="uk-UA" w:eastAsia="uk-UA"/>
    </w:rPr>
  </w:style>
  <w:style w:type="character" w:customStyle="1" w:styleId="rvts37">
    <w:name w:val="rvts37"/>
    <w:basedOn w:val="a0"/>
    <w:rsid w:val="0036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003A-AA41-4CA9-942E-E31ED39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1263</Words>
  <Characters>9231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Kab16-1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Олександр Дорожинський</cp:lastModifiedBy>
  <cp:revision>3</cp:revision>
  <cp:lastPrinted>2018-06-11T12:24:00Z</cp:lastPrinted>
  <dcterms:created xsi:type="dcterms:W3CDTF">2018-06-12T07:00:00Z</dcterms:created>
  <dcterms:modified xsi:type="dcterms:W3CDTF">2018-06-12T07:03:00Z</dcterms:modified>
</cp:coreProperties>
</file>