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48" w:rsidRDefault="00511A48" w:rsidP="00511A48">
      <w:pPr>
        <w:widowControl w:val="0"/>
        <w:tabs>
          <w:tab w:val="left" w:pos="5400"/>
          <w:tab w:val="left" w:pos="6570"/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</w:pPr>
      <w:r w:rsidRPr="00444089"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  <w:t xml:space="preserve">Кабінет Міністрів України </w:t>
      </w:r>
    </w:p>
    <w:p w:rsidR="006861C4" w:rsidRPr="00444089" w:rsidRDefault="006861C4" w:rsidP="00511A48">
      <w:pPr>
        <w:widowControl w:val="0"/>
        <w:tabs>
          <w:tab w:val="left" w:pos="5400"/>
          <w:tab w:val="left" w:pos="6570"/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</w:pPr>
    </w:p>
    <w:p w:rsidR="00511A48" w:rsidRPr="00444089" w:rsidRDefault="00511A48" w:rsidP="00511A48">
      <w:pPr>
        <w:widowControl w:val="0"/>
        <w:tabs>
          <w:tab w:val="left" w:pos="5400"/>
          <w:tab w:val="left" w:pos="6570"/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</w:pPr>
      <w:r w:rsidRPr="00444089"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  <w:t>Міністерство екології та природних ресурсів України</w:t>
      </w:r>
    </w:p>
    <w:p w:rsidR="009E5FA3" w:rsidRDefault="009E5FA3" w:rsidP="00511A48">
      <w:pPr>
        <w:widowControl w:val="0"/>
        <w:tabs>
          <w:tab w:val="left" w:pos="5400"/>
          <w:tab w:val="left" w:pos="6570"/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</w:pPr>
    </w:p>
    <w:p w:rsidR="006861C4" w:rsidRDefault="006861C4" w:rsidP="00511A48">
      <w:pPr>
        <w:widowControl w:val="0"/>
        <w:tabs>
          <w:tab w:val="left" w:pos="5400"/>
          <w:tab w:val="left" w:pos="6570"/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</w:pPr>
    </w:p>
    <w:p w:rsidR="003A6D1C" w:rsidRDefault="003A6D1C" w:rsidP="00511A48">
      <w:pPr>
        <w:widowControl w:val="0"/>
        <w:tabs>
          <w:tab w:val="left" w:pos="5400"/>
          <w:tab w:val="left" w:pos="6570"/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</w:pPr>
    </w:p>
    <w:p w:rsidR="006861C4" w:rsidRPr="00444089" w:rsidRDefault="006861C4" w:rsidP="00511A48">
      <w:pPr>
        <w:widowControl w:val="0"/>
        <w:tabs>
          <w:tab w:val="left" w:pos="5400"/>
          <w:tab w:val="left" w:pos="6570"/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</w:pPr>
    </w:p>
    <w:p w:rsidR="00511A48" w:rsidRDefault="00511A48" w:rsidP="00511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C51473">
        <w:rPr>
          <w:rFonts w:ascii="Times New Roman CYR" w:eastAsia="Calibri" w:hAnsi="Times New Roman CYR" w:cs="Times New Roman CYR"/>
          <w:bCs/>
          <w:sz w:val="28"/>
          <w:szCs w:val="28"/>
        </w:rPr>
        <w:t>ЗВЕРНЕННЯ</w:t>
      </w:r>
    </w:p>
    <w:p w:rsidR="006861C4" w:rsidRPr="00C51473" w:rsidRDefault="006861C4" w:rsidP="00511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511A48" w:rsidRPr="00C51473" w:rsidRDefault="00511A48" w:rsidP="00511A48">
      <w:pPr>
        <w:spacing w:after="0"/>
        <w:jc w:val="center"/>
        <w:rPr>
          <w:rFonts w:cs="Times New Roman"/>
          <w:sz w:val="28"/>
          <w:szCs w:val="28"/>
        </w:rPr>
      </w:pPr>
      <w:r w:rsidRPr="00C51473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депутатів обласної ради щодо законодавчого врегулювання </w:t>
      </w:r>
      <w:r>
        <w:rPr>
          <w:rFonts w:cs="Times New Roman"/>
          <w:sz w:val="28"/>
          <w:szCs w:val="28"/>
        </w:rPr>
        <w:t xml:space="preserve">питання </w:t>
      </w:r>
      <w:r w:rsidRPr="00C51473">
        <w:rPr>
          <w:rFonts w:cs="Times New Roman"/>
          <w:sz w:val="28"/>
          <w:szCs w:val="28"/>
        </w:rPr>
        <w:t xml:space="preserve">ліквідації наслідків стихійних </w:t>
      </w:r>
      <w:r w:rsidR="001E6E5C">
        <w:rPr>
          <w:rFonts w:cs="Times New Roman"/>
          <w:sz w:val="28"/>
          <w:szCs w:val="28"/>
        </w:rPr>
        <w:t>явищ (</w:t>
      </w:r>
      <w:r w:rsidRPr="00C51473">
        <w:rPr>
          <w:rFonts w:cs="Times New Roman"/>
          <w:sz w:val="28"/>
          <w:szCs w:val="28"/>
        </w:rPr>
        <w:t>буреломів</w:t>
      </w:r>
      <w:r w:rsidR="001E6E5C">
        <w:rPr>
          <w:rFonts w:cs="Times New Roman"/>
          <w:sz w:val="28"/>
          <w:szCs w:val="28"/>
        </w:rPr>
        <w:t>,</w:t>
      </w:r>
      <w:r w:rsidRPr="00C51473">
        <w:rPr>
          <w:rFonts w:cs="Times New Roman"/>
          <w:sz w:val="28"/>
          <w:szCs w:val="28"/>
        </w:rPr>
        <w:t xml:space="preserve"> вітровалів</w:t>
      </w:r>
      <w:r w:rsidR="001E6E5C">
        <w:rPr>
          <w:rFonts w:cs="Times New Roman"/>
          <w:sz w:val="28"/>
          <w:szCs w:val="28"/>
        </w:rPr>
        <w:t>)</w:t>
      </w:r>
      <w:r w:rsidRPr="00C51473">
        <w:rPr>
          <w:rFonts w:cs="Times New Roman"/>
          <w:sz w:val="28"/>
          <w:szCs w:val="28"/>
        </w:rPr>
        <w:t xml:space="preserve"> </w:t>
      </w:r>
      <w:r w:rsidR="001E6E5C">
        <w:rPr>
          <w:rFonts w:cs="Times New Roman"/>
          <w:sz w:val="28"/>
          <w:szCs w:val="28"/>
        </w:rPr>
        <w:t>у</w:t>
      </w:r>
      <w:r w:rsidRPr="00C51473">
        <w:rPr>
          <w:rFonts w:cs="Times New Roman"/>
          <w:sz w:val="28"/>
          <w:szCs w:val="28"/>
        </w:rPr>
        <w:t xml:space="preserve"> лісових насадженнях</w:t>
      </w:r>
      <w:r>
        <w:rPr>
          <w:rFonts w:cs="Times New Roman"/>
          <w:sz w:val="28"/>
          <w:szCs w:val="28"/>
        </w:rPr>
        <w:t xml:space="preserve"> </w:t>
      </w:r>
      <w:r w:rsidRPr="00C51473">
        <w:rPr>
          <w:rFonts w:cs="Times New Roman"/>
          <w:sz w:val="28"/>
          <w:szCs w:val="28"/>
        </w:rPr>
        <w:t xml:space="preserve"> Житомирськ</w:t>
      </w:r>
      <w:r w:rsidR="001E6E5C">
        <w:rPr>
          <w:rFonts w:cs="Times New Roman"/>
          <w:sz w:val="28"/>
          <w:szCs w:val="28"/>
        </w:rPr>
        <w:t xml:space="preserve">ої </w:t>
      </w:r>
      <w:r w:rsidRPr="00C51473">
        <w:rPr>
          <w:rFonts w:cs="Times New Roman"/>
          <w:sz w:val="28"/>
          <w:szCs w:val="28"/>
        </w:rPr>
        <w:t>області</w:t>
      </w:r>
    </w:p>
    <w:p w:rsidR="001E6E5C" w:rsidRDefault="001E6E5C" w:rsidP="00511A48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 w:val="28"/>
          <w:szCs w:val="28"/>
        </w:rPr>
      </w:pPr>
    </w:p>
    <w:p w:rsidR="003A6D1C" w:rsidRDefault="003A6D1C" w:rsidP="00511A48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 w:val="28"/>
          <w:szCs w:val="28"/>
        </w:rPr>
      </w:pPr>
    </w:p>
    <w:p w:rsidR="00F200EB" w:rsidRDefault="001E6E5C" w:rsidP="00010F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Ми, депутати обласної ради, стурбовані ситуацією, що сталася 16 травня 2019 року </w:t>
      </w:r>
      <w:r w:rsidR="00511A48">
        <w:rPr>
          <w:sz w:val="28"/>
          <w:szCs w:val="28"/>
        </w:rPr>
        <w:t>на з</w:t>
      </w:r>
      <w:r w:rsidR="00511A48" w:rsidRPr="00BD511D">
        <w:rPr>
          <w:sz w:val="28"/>
          <w:szCs w:val="28"/>
        </w:rPr>
        <w:t>емлях лісогосподарського пр</w:t>
      </w:r>
      <w:r w:rsidR="00511A48">
        <w:rPr>
          <w:sz w:val="28"/>
          <w:szCs w:val="28"/>
        </w:rPr>
        <w:t xml:space="preserve">изначення державних підприємств </w:t>
      </w:r>
      <w:proofErr w:type="spellStart"/>
      <w:r>
        <w:rPr>
          <w:sz w:val="28"/>
          <w:szCs w:val="28"/>
        </w:rPr>
        <w:t>„</w:t>
      </w:r>
      <w:r w:rsidR="00511A48">
        <w:rPr>
          <w:sz w:val="28"/>
          <w:szCs w:val="28"/>
        </w:rPr>
        <w:t>Городницьке</w:t>
      </w:r>
      <w:proofErr w:type="spellEnd"/>
      <w:r w:rsidR="00511A48">
        <w:rPr>
          <w:sz w:val="28"/>
          <w:szCs w:val="28"/>
        </w:rPr>
        <w:t xml:space="preserve"> лісове господарство</w:t>
      </w:r>
      <w:r>
        <w:rPr>
          <w:sz w:val="28"/>
          <w:szCs w:val="28"/>
        </w:rPr>
        <w:t>”</w:t>
      </w:r>
      <w:r w:rsidR="00511A48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„</w:t>
      </w:r>
      <w:r w:rsidR="00511A48">
        <w:rPr>
          <w:sz w:val="28"/>
          <w:szCs w:val="28"/>
        </w:rPr>
        <w:t>Новоград-Волинське</w:t>
      </w:r>
      <w:proofErr w:type="spellEnd"/>
      <w:r w:rsidR="00511A48">
        <w:rPr>
          <w:sz w:val="28"/>
          <w:szCs w:val="28"/>
        </w:rPr>
        <w:t xml:space="preserve"> досвідне лісомисливське господарство</w:t>
      </w:r>
      <w:r>
        <w:rPr>
          <w:sz w:val="28"/>
          <w:szCs w:val="28"/>
        </w:rPr>
        <w:t>”</w:t>
      </w:r>
      <w:r w:rsidR="00511A48">
        <w:rPr>
          <w:sz w:val="28"/>
          <w:szCs w:val="28"/>
        </w:rPr>
        <w:t xml:space="preserve"> внаслідок </w:t>
      </w:r>
      <w:r w:rsidR="008C251A">
        <w:rPr>
          <w:sz w:val="28"/>
          <w:szCs w:val="28"/>
        </w:rPr>
        <w:t>стихійного лиха природного характеру - метеорологічного явища І рівня  небезпечност</w:t>
      </w:r>
      <w:r w:rsidR="00E34EE3">
        <w:rPr>
          <w:sz w:val="28"/>
          <w:szCs w:val="28"/>
        </w:rPr>
        <w:t>і</w:t>
      </w:r>
      <w:r w:rsidR="00441FB0">
        <w:rPr>
          <w:sz w:val="28"/>
          <w:szCs w:val="28"/>
        </w:rPr>
        <w:t>.</w:t>
      </w:r>
      <w:r w:rsidR="008C251A">
        <w:rPr>
          <w:sz w:val="28"/>
          <w:szCs w:val="28"/>
        </w:rPr>
        <w:t xml:space="preserve"> </w:t>
      </w:r>
      <w:r w:rsidR="00441FB0">
        <w:rPr>
          <w:sz w:val="28"/>
          <w:szCs w:val="28"/>
        </w:rPr>
        <w:t>Я</w:t>
      </w:r>
      <w:r w:rsidR="008C251A">
        <w:rPr>
          <w:sz w:val="28"/>
          <w:szCs w:val="28"/>
        </w:rPr>
        <w:t>к результат - масове</w:t>
      </w:r>
      <w:r w:rsidR="008C251A" w:rsidRPr="008C251A">
        <w:rPr>
          <w:sz w:val="28"/>
          <w:szCs w:val="28"/>
        </w:rPr>
        <w:t xml:space="preserve"> </w:t>
      </w:r>
      <w:r w:rsidR="008C251A">
        <w:rPr>
          <w:sz w:val="28"/>
          <w:szCs w:val="28"/>
        </w:rPr>
        <w:t>пошкодження та загибель різновікових лісових насаджень орієнтовною        площею 563 га</w:t>
      </w:r>
      <w:r w:rsidR="00F200EB">
        <w:rPr>
          <w:sz w:val="28"/>
          <w:szCs w:val="28"/>
        </w:rPr>
        <w:t>, у тому числі на територі</w:t>
      </w:r>
      <w:r w:rsidR="00441FB0">
        <w:rPr>
          <w:sz w:val="28"/>
          <w:szCs w:val="28"/>
        </w:rPr>
        <w:t>ях</w:t>
      </w:r>
      <w:r w:rsidR="00F200EB">
        <w:rPr>
          <w:sz w:val="28"/>
          <w:szCs w:val="28"/>
        </w:rPr>
        <w:t xml:space="preserve"> державного підприємства </w:t>
      </w:r>
      <w:proofErr w:type="spellStart"/>
      <w:r w:rsidR="00F200EB">
        <w:rPr>
          <w:sz w:val="28"/>
          <w:szCs w:val="28"/>
        </w:rPr>
        <w:t>„Городницьке</w:t>
      </w:r>
      <w:proofErr w:type="spellEnd"/>
      <w:r w:rsidR="00F200EB">
        <w:rPr>
          <w:sz w:val="28"/>
          <w:szCs w:val="28"/>
        </w:rPr>
        <w:t xml:space="preserve"> лісове господарство” - 258 га, державного підприємства </w:t>
      </w:r>
      <w:proofErr w:type="spellStart"/>
      <w:r w:rsidR="00F200EB">
        <w:rPr>
          <w:sz w:val="28"/>
          <w:szCs w:val="28"/>
        </w:rPr>
        <w:t>„Новоград-Волинське</w:t>
      </w:r>
      <w:proofErr w:type="spellEnd"/>
      <w:r w:rsidR="00F200EB">
        <w:rPr>
          <w:sz w:val="28"/>
          <w:szCs w:val="28"/>
        </w:rPr>
        <w:t xml:space="preserve"> досвідне лісомисливське господарство” – 305 га.</w:t>
      </w:r>
    </w:p>
    <w:p w:rsidR="00511A48" w:rsidRDefault="00511A48" w:rsidP="00010F9A">
      <w:pPr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Положення про Житомирську обласну комісію з питань техногенно-екологічної безпеки і надзвичайних ситуацій (далі </w:t>
      </w:r>
      <w:r w:rsidR="009C73B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ТЕБ і НС), затвердженого розпорядженням голови Житомирської обласної державної адміністрації від 05.11.2015 № 368, на позачерговому засіданні обласної комісії ТЕБ і НС </w:t>
      </w:r>
      <w:r w:rsidR="00E50DF6">
        <w:rPr>
          <w:sz w:val="28"/>
          <w:szCs w:val="28"/>
        </w:rPr>
        <w:t xml:space="preserve">20.05.2019 </w:t>
      </w:r>
      <w:r>
        <w:rPr>
          <w:sz w:val="28"/>
          <w:szCs w:val="28"/>
        </w:rPr>
        <w:t>прийнято рішення про оголошення надзвичайної ситуації місцевого рівня.</w:t>
      </w:r>
    </w:p>
    <w:p w:rsidR="00511A48" w:rsidRPr="007370FD" w:rsidRDefault="00511A48" w:rsidP="00715395">
      <w:pPr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Згідно </w:t>
      </w:r>
      <w:r w:rsidR="004C1A9C">
        <w:rPr>
          <w:color w:val="000000"/>
          <w:sz w:val="28"/>
          <w:szCs w:val="28"/>
          <w:lang w:eastAsia="uk-UA"/>
        </w:rPr>
        <w:t xml:space="preserve">з </w:t>
      </w:r>
      <w:r>
        <w:rPr>
          <w:color w:val="000000"/>
          <w:sz w:val="28"/>
          <w:szCs w:val="28"/>
          <w:lang w:eastAsia="uk-UA"/>
        </w:rPr>
        <w:t>абзац</w:t>
      </w:r>
      <w:r w:rsidR="004C1A9C">
        <w:rPr>
          <w:color w:val="000000"/>
          <w:sz w:val="28"/>
          <w:szCs w:val="28"/>
          <w:lang w:eastAsia="uk-UA"/>
        </w:rPr>
        <w:t>ом</w:t>
      </w:r>
      <w:r>
        <w:rPr>
          <w:color w:val="000000"/>
          <w:sz w:val="28"/>
          <w:szCs w:val="28"/>
          <w:lang w:eastAsia="uk-UA"/>
        </w:rPr>
        <w:t xml:space="preserve"> 2 частини </w:t>
      </w:r>
      <w:r w:rsidR="008B751D">
        <w:rPr>
          <w:color w:val="000000"/>
          <w:sz w:val="28"/>
          <w:szCs w:val="28"/>
          <w:lang w:eastAsia="uk-UA"/>
        </w:rPr>
        <w:t>першої</w:t>
      </w:r>
      <w:r>
        <w:rPr>
          <w:color w:val="000000"/>
          <w:sz w:val="28"/>
          <w:szCs w:val="28"/>
          <w:lang w:eastAsia="uk-UA"/>
        </w:rPr>
        <w:t xml:space="preserve"> ст. 3 Закону України </w:t>
      </w:r>
      <w:proofErr w:type="spellStart"/>
      <w:r w:rsidR="003334E2">
        <w:rPr>
          <w:color w:val="000000"/>
          <w:sz w:val="28"/>
          <w:szCs w:val="28"/>
          <w:lang w:eastAsia="uk-UA"/>
        </w:rPr>
        <w:t>„</w:t>
      </w:r>
      <w:r>
        <w:rPr>
          <w:color w:val="000000"/>
          <w:sz w:val="28"/>
          <w:szCs w:val="28"/>
          <w:lang w:eastAsia="uk-UA"/>
        </w:rPr>
        <w:t>Про</w:t>
      </w:r>
      <w:proofErr w:type="spellEnd"/>
      <w:r>
        <w:rPr>
          <w:color w:val="000000"/>
          <w:sz w:val="28"/>
          <w:szCs w:val="28"/>
          <w:lang w:eastAsia="uk-UA"/>
        </w:rPr>
        <w:t xml:space="preserve"> оцінку впливу на довкілля</w:t>
      </w:r>
      <w:r w:rsidR="003334E2">
        <w:rPr>
          <w:color w:val="000000"/>
          <w:sz w:val="28"/>
          <w:szCs w:val="28"/>
          <w:lang w:eastAsia="uk-UA"/>
        </w:rPr>
        <w:t>”,</w:t>
      </w:r>
      <w:r w:rsidRPr="00685811">
        <w:rPr>
          <w:color w:val="000000"/>
          <w:shd w:val="clear" w:color="auto" w:fill="FFFFFF"/>
        </w:rPr>
        <w:t xml:space="preserve"> </w:t>
      </w:r>
      <w:r w:rsidRPr="00685811">
        <w:rPr>
          <w:color w:val="000000"/>
          <w:sz w:val="28"/>
          <w:szCs w:val="28"/>
          <w:shd w:val="clear" w:color="auto" w:fill="FFFFFF"/>
        </w:rPr>
        <w:t>оцінці впливу на довкілля не підлягає планована діяльність, спрямована виключно на забезпечення оборони держави</w:t>
      </w:r>
      <w:r w:rsidRPr="003334E2">
        <w:rPr>
          <w:color w:val="000000"/>
          <w:sz w:val="28"/>
          <w:szCs w:val="28"/>
          <w:shd w:val="clear" w:color="auto" w:fill="FFFFFF"/>
        </w:rPr>
        <w:t>, ліквідацію наслідків надзвичайних ситуацій,</w:t>
      </w:r>
      <w:r w:rsidRPr="00685811">
        <w:rPr>
          <w:color w:val="000000"/>
          <w:sz w:val="28"/>
          <w:szCs w:val="28"/>
          <w:shd w:val="clear" w:color="auto" w:fill="FFFFFF"/>
        </w:rPr>
        <w:t xml:space="preserve"> наслідків антитерористичної операції на території проведення антитерористичної операції на період її проведення, відповідно до критеріїв, затверджених Кабінетом Міністрів України.</w:t>
      </w:r>
    </w:p>
    <w:p w:rsidR="00511A48" w:rsidRDefault="00511A48" w:rsidP="00715395">
      <w:pPr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цьому, </w:t>
      </w:r>
      <w:r w:rsidRPr="000C708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D1ADF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 xml:space="preserve">одатку 1 </w:t>
      </w:r>
      <w:r w:rsidRPr="000C708A">
        <w:rPr>
          <w:color w:val="000000"/>
          <w:sz w:val="28"/>
          <w:szCs w:val="28"/>
          <w:shd w:val="clear" w:color="auto" w:fill="FFFFFF"/>
        </w:rPr>
        <w:t>до постанови Кабінету Міністрів України</w:t>
      </w:r>
      <w:r w:rsidR="003D1ADF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C24B6E">
        <w:rPr>
          <w:color w:val="000000"/>
          <w:sz w:val="28"/>
          <w:szCs w:val="28"/>
          <w:shd w:val="clear" w:color="auto" w:fill="FFFFFF"/>
        </w:rPr>
        <w:t>від 13 грудня 2017 р</w:t>
      </w:r>
      <w:r w:rsidR="003D1ADF">
        <w:rPr>
          <w:color w:val="000000"/>
          <w:sz w:val="28"/>
          <w:szCs w:val="28"/>
          <w:shd w:val="clear" w:color="auto" w:fill="FFFFFF"/>
        </w:rPr>
        <w:t>оку</w:t>
      </w:r>
      <w:r w:rsidRPr="00C24B6E">
        <w:rPr>
          <w:color w:val="000000"/>
          <w:sz w:val="28"/>
          <w:szCs w:val="28"/>
          <w:shd w:val="clear" w:color="auto" w:fill="FFFFFF"/>
        </w:rPr>
        <w:t xml:space="preserve"> № 1010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1ADF">
        <w:rPr>
          <w:color w:val="000000"/>
          <w:sz w:val="28"/>
          <w:szCs w:val="28"/>
          <w:shd w:val="clear" w:color="auto" w:fill="FFFFFF"/>
        </w:rPr>
        <w:t>„</w:t>
      </w:r>
      <w:r w:rsidR="00CC7D0B">
        <w:rPr>
          <w:color w:val="000000"/>
          <w:sz w:val="28"/>
          <w:szCs w:val="28"/>
          <w:lang w:eastAsia="uk-UA"/>
        </w:rPr>
        <w:t>Критерії</w:t>
      </w:r>
      <w:proofErr w:type="spellEnd"/>
      <w:r w:rsidR="00CC7D0B">
        <w:rPr>
          <w:color w:val="000000"/>
          <w:sz w:val="28"/>
          <w:szCs w:val="28"/>
          <w:lang w:eastAsia="uk-UA"/>
        </w:rPr>
        <w:t xml:space="preserve"> визначення планової діяльності, яка не підлягає оцінці впливу на довкілля</w:t>
      </w:r>
      <w:r w:rsidR="003D1ADF">
        <w:rPr>
          <w:color w:val="000000"/>
          <w:sz w:val="28"/>
          <w:szCs w:val="28"/>
          <w:lang w:eastAsia="uk-UA"/>
        </w:rPr>
        <w:t>”</w:t>
      </w:r>
      <w:r>
        <w:rPr>
          <w:color w:val="000000"/>
          <w:sz w:val="28"/>
          <w:szCs w:val="28"/>
          <w:lang w:eastAsia="uk-UA"/>
        </w:rPr>
        <w:t xml:space="preserve"> чітко не вказано про ліквідацію наслідків надзвичайних ситуацій у лісових масивах.</w:t>
      </w:r>
    </w:p>
    <w:p w:rsidR="006204ED" w:rsidRDefault="00511A48" w:rsidP="00715395">
      <w:pPr>
        <w:spacing w:after="0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Враховуючи </w:t>
      </w:r>
      <w:r w:rsidRPr="008823B4">
        <w:rPr>
          <w:color w:val="000000"/>
          <w:sz w:val="28"/>
          <w:szCs w:val="28"/>
          <w:lang w:eastAsia="uk-UA"/>
        </w:rPr>
        <w:t>зазначене</w:t>
      </w:r>
      <w:r w:rsidR="006204ED">
        <w:rPr>
          <w:color w:val="000000"/>
          <w:sz w:val="28"/>
          <w:szCs w:val="28"/>
          <w:lang w:eastAsia="uk-UA"/>
        </w:rPr>
        <w:t xml:space="preserve"> та з метою </w:t>
      </w:r>
      <w:r w:rsidR="006204ED">
        <w:rPr>
          <w:color w:val="000000"/>
          <w:sz w:val="28"/>
          <w:szCs w:val="28"/>
          <w:shd w:val="clear" w:color="auto" w:fill="FFFFFF"/>
        </w:rPr>
        <w:t xml:space="preserve">термінової ліквідації наслідків надзвичайної ситуації природного характеру </w:t>
      </w:r>
      <w:r w:rsidR="000D68C2">
        <w:rPr>
          <w:color w:val="000000"/>
          <w:sz w:val="28"/>
          <w:szCs w:val="28"/>
          <w:shd w:val="clear" w:color="auto" w:fill="FFFFFF"/>
        </w:rPr>
        <w:t>і</w:t>
      </w:r>
      <w:r w:rsidR="006204ED">
        <w:rPr>
          <w:color w:val="000000"/>
          <w:sz w:val="28"/>
          <w:szCs w:val="28"/>
          <w:shd w:val="clear" w:color="auto" w:fill="FFFFFF"/>
        </w:rPr>
        <w:t xml:space="preserve"> недопущення економічних втрат держави, звертаємося з проханням внести зміни у додаток 1 до постанови </w:t>
      </w:r>
      <w:r w:rsidR="006204ED" w:rsidRPr="000C708A">
        <w:rPr>
          <w:color w:val="000000"/>
          <w:sz w:val="28"/>
          <w:szCs w:val="28"/>
          <w:shd w:val="clear" w:color="auto" w:fill="FFFFFF"/>
        </w:rPr>
        <w:lastRenderedPageBreak/>
        <w:t>Кабінету Міністрів України</w:t>
      </w:r>
      <w:r w:rsidR="00493780">
        <w:rPr>
          <w:color w:val="000000"/>
          <w:sz w:val="28"/>
          <w:szCs w:val="28"/>
          <w:shd w:val="clear" w:color="auto" w:fill="FFFFFF"/>
        </w:rPr>
        <w:t xml:space="preserve"> </w:t>
      </w:r>
      <w:r w:rsidR="006204ED">
        <w:rPr>
          <w:color w:val="000000"/>
          <w:sz w:val="28"/>
          <w:szCs w:val="28"/>
          <w:shd w:val="clear" w:color="auto" w:fill="FFFFFF"/>
        </w:rPr>
        <w:t xml:space="preserve">від </w:t>
      </w:r>
      <w:r w:rsidR="006204ED" w:rsidRPr="00C24B6E">
        <w:rPr>
          <w:color w:val="000000"/>
          <w:sz w:val="28"/>
          <w:szCs w:val="28"/>
          <w:shd w:val="clear" w:color="auto" w:fill="FFFFFF"/>
        </w:rPr>
        <w:t>13 грудня 2017 р</w:t>
      </w:r>
      <w:r w:rsidR="006204ED">
        <w:rPr>
          <w:color w:val="000000"/>
          <w:sz w:val="28"/>
          <w:szCs w:val="28"/>
          <w:shd w:val="clear" w:color="auto" w:fill="FFFFFF"/>
        </w:rPr>
        <w:t>оку</w:t>
      </w:r>
      <w:r w:rsidR="006204ED" w:rsidRPr="00C24B6E">
        <w:rPr>
          <w:color w:val="000000"/>
          <w:sz w:val="28"/>
          <w:szCs w:val="28"/>
          <w:shd w:val="clear" w:color="auto" w:fill="FFFFFF"/>
        </w:rPr>
        <w:t xml:space="preserve"> № 1010</w:t>
      </w:r>
      <w:r w:rsidR="006204E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04ED">
        <w:rPr>
          <w:color w:val="000000"/>
          <w:sz w:val="28"/>
          <w:szCs w:val="28"/>
          <w:shd w:val="clear" w:color="auto" w:fill="FFFFFF"/>
        </w:rPr>
        <w:t>„</w:t>
      </w:r>
      <w:r w:rsidR="00B03B73">
        <w:rPr>
          <w:color w:val="000000"/>
          <w:sz w:val="28"/>
          <w:szCs w:val="28"/>
          <w:lang w:eastAsia="uk-UA"/>
        </w:rPr>
        <w:t>Критерії</w:t>
      </w:r>
      <w:proofErr w:type="spellEnd"/>
      <w:r w:rsidR="00B03B73">
        <w:rPr>
          <w:color w:val="000000"/>
          <w:sz w:val="28"/>
          <w:szCs w:val="28"/>
          <w:lang w:eastAsia="uk-UA"/>
        </w:rPr>
        <w:t xml:space="preserve"> визначення планової діяльності, яка не підлягає оцінці впливу на довкілля” </w:t>
      </w:r>
      <w:r w:rsidR="007647FF">
        <w:rPr>
          <w:color w:val="000000"/>
          <w:sz w:val="28"/>
          <w:szCs w:val="28"/>
          <w:lang w:eastAsia="uk-UA"/>
        </w:rPr>
        <w:t xml:space="preserve"> у частині </w:t>
      </w:r>
      <w:r w:rsidR="00B93E52">
        <w:rPr>
          <w:color w:val="000000"/>
          <w:sz w:val="28"/>
          <w:szCs w:val="28"/>
          <w:lang w:eastAsia="uk-UA"/>
        </w:rPr>
        <w:t xml:space="preserve">щодо </w:t>
      </w:r>
      <w:r w:rsidR="007647FF">
        <w:rPr>
          <w:color w:val="000000"/>
          <w:sz w:val="28"/>
          <w:szCs w:val="28"/>
          <w:lang w:eastAsia="uk-UA"/>
        </w:rPr>
        <w:t>ліквідації наслідків надзвичайної ситуації у лісових масивах.</w:t>
      </w:r>
    </w:p>
    <w:p w:rsidR="0019062C" w:rsidRDefault="0019062C" w:rsidP="001A6407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511A48" w:rsidRDefault="00511A48" w:rsidP="001A6407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Звернення прийнято на двадцять третій сесії обласної ради </w:t>
      </w:r>
      <w:r>
        <w:rPr>
          <w:rFonts w:cs="Times New Roman"/>
          <w:sz w:val="28"/>
          <w:szCs w:val="28"/>
        </w:rPr>
        <w:t>VII</w:t>
      </w:r>
      <w:r>
        <w:rPr>
          <w:sz w:val="28"/>
          <w:szCs w:val="28"/>
        </w:rPr>
        <w:t xml:space="preserve"> скликання    23 травня 2019 року.</w:t>
      </w:r>
    </w:p>
    <w:p w:rsidR="00435C9C" w:rsidRDefault="00435C9C" w:rsidP="001A640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11A48" w:rsidRDefault="00511A48" w:rsidP="00BC4B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 депутатів обласної ради</w:t>
      </w:r>
    </w:p>
    <w:p w:rsidR="004B4D86" w:rsidRDefault="004B4D86" w:rsidP="00BC4BBA">
      <w:pPr>
        <w:tabs>
          <w:tab w:val="left" w:pos="0"/>
        </w:tabs>
        <w:jc w:val="both"/>
        <w:rPr>
          <w:sz w:val="28"/>
          <w:szCs w:val="28"/>
        </w:rPr>
      </w:pPr>
    </w:p>
    <w:p w:rsidR="00435C9C" w:rsidRDefault="00435C9C" w:rsidP="00BC4BBA">
      <w:pPr>
        <w:tabs>
          <w:tab w:val="left" w:pos="0"/>
        </w:tabs>
        <w:jc w:val="both"/>
        <w:rPr>
          <w:sz w:val="28"/>
          <w:szCs w:val="28"/>
        </w:rPr>
      </w:pPr>
    </w:p>
    <w:p w:rsidR="00435C9C" w:rsidRDefault="00435C9C" w:rsidP="00BC4BBA">
      <w:pPr>
        <w:tabs>
          <w:tab w:val="left" w:pos="0"/>
        </w:tabs>
        <w:jc w:val="both"/>
        <w:rPr>
          <w:sz w:val="28"/>
          <w:szCs w:val="28"/>
        </w:rPr>
      </w:pPr>
    </w:p>
    <w:p w:rsidR="00511A48" w:rsidRDefault="00511A48" w:rsidP="00A55E52">
      <w:pPr>
        <w:tabs>
          <w:tab w:val="left" w:pos="0"/>
        </w:tabs>
        <w:jc w:val="both"/>
      </w:pPr>
      <w:r w:rsidRPr="00511A48">
        <w:rPr>
          <w:sz w:val="28"/>
          <w:szCs w:val="28"/>
        </w:rPr>
        <w:t>Голова обласної ради                                                                              В.В. Ширма</w:t>
      </w:r>
    </w:p>
    <w:sectPr w:rsidR="00511A48" w:rsidSect="00B433A7">
      <w:headerReference w:type="default" r:id="rId7"/>
      <w:pgSz w:w="11906" w:h="16838"/>
      <w:pgMar w:top="1134" w:right="567" w:bottom="1134" w:left="1701" w:header="709" w:footer="1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BA" w:rsidRDefault="007E3EBA">
      <w:pPr>
        <w:spacing w:after="0"/>
      </w:pPr>
      <w:r>
        <w:separator/>
      </w:r>
    </w:p>
  </w:endnote>
  <w:endnote w:type="continuationSeparator" w:id="0">
    <w:p w:rsidR="007E3EBA" w:rsidRDefault="007E3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BA" w:rsidRDefault="007E3EBA">
      <w:pPr>
        <w:spacing w:after="0"/>
      </w:pPr>
      <w:r>
        <w:separator/>
      </w:r>
    </w:p>
  </w:footnote>
  <w:footnote w:type="continuationSeparator" w:id="0">
    <w:p w:rsidR="007E3EBA" w:rsidRDefault="007E3E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3271"/>
      <w:docPartObj>
        <w:docPartGallery w:val="Page Numbers (Top of Page)"/>
        <w:docPartUnique/>
      </w:docPartObj>
    </w:sdtPr>
    <w:sdtEndPr/>
    <w:sdtContent>
      <w:p w:rsidR="00990064" w:rsidRDefault="00367AF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6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0064" w:rsidRDefault="007E3E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0D"/>
    <w:rsid w:val="00010F9A"/>
    <w:rsid w:val="00014C0D"/>
    <w:rsid w:val="000D68C2"/>
    <w:rsid w:val="0019062C"/>
    <w:rsid w:val="001A6407"/>
    <w:rsid w:val="001E6E5C"/>
    <w:rsid w:val="002A10AA"/>
    <w:rsid w:val="003334E2"/>
    <w:rsid w:val="00367AF8"/>
    <w:rsid w:val="00381AB2"/>
    <w:rsid w:val="003A6D1C"/>
    <w:rsid w:val="003D1ADF"/>
    <w:rsid w:val="003E2C92"/>
    <w:rsid w:val="00422F90"/>
    <w:rsid w:val="00435C9C"/>
    <w:rsid w:val="00441FB0"/>
    <w:rsid w:val="00444089"/>
    <w:rsid w:val="004641C0"/>
    <w:rsid w:val="00493780"/>
    <w:rsid w:val="004B4D86"/>
    <w:rsid w:val="004C1A9C"/>
    <w:rsid w:val="00511A48"/>
    <w:rsid w:val="00532E9E"/>
    <w:rsid w:val="005958C0"/>
    <w:rsid w:val="005C3B65"/>
    <w:rsid w:val="005D1136"/>
    <w:rsid w:val="006204ED"/>
    <w:rsid w:val="006861C4"/>
    <w:rsid w:val="00687D1B"/>
    <w:rsid w:val="00715395"/>
    <w:rsid w:val="007647FF"/>
    <w:rsid w:val="007A3CF6"/>
    <w:rsid w:val="007B3B13"/>
    <w:rsid w:val="007C3861"/>
    <w:rsid w:val="007E1F85"/>
    <w:rsid w:val="007E3EBA"/>
    <w:rsid w:val="00865898"/>
    <w:rsid w:val="008B0E6C"/>
    <w:rsid w:val="008B751D"/>
    <w:rsid w:val="008C251A"/>
    <w:rsid w:val="00997F7F"/>
    <w:rsid w:val="009C73BC"/>
    <w:rsid w:val="009E5FA3"/>
    <w:rsid w:val="00A55E52"/>
    <w:rsid w:val="00A6651C"/>
    <w:rsid w:val="00B03B73"/>
    <w:rsid w:val="00B433A7"/>
    <w:rsid w:val="00B93E52"/>
    <w:rsid w:val="00BC4BBA"/>
    <w:rsid w:val="00CC7D0B"/>
    <w:rsid w:val="00D92020"/>
    <w:rsid w:val="00E14211"/>
    <w:rsid w:val="00E34EE3"/>
    <w:rsid w:val="00E50DF6"/>
    <w:rsid w:val="00F200EB"/>
    <w:rsid w:val="00F3294C"/>
    <w:rsid w:val="00F3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F8"/>
    <w:pPr>
      <w:spacing w:after="120" w:line="240" w:lineRule="auto"/>
    </w:pPr>
    <w:rPr>
      <w:rFonts w:ascii="Times New Roman" w:eastAsiaTheme="minorHAnsi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AF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67AF8"/>
    <w:rPr>
      <w:rFonts w:ascii="Times New Roman" w:eastAsiaTheme="minorHAnsi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B4D8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D8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F8"/>
    <w:pPr>
      <w:spacing w:after="120" w:line="240" w:lineRule="auto"/>
    </w:pPr>
    <w:rPr>
      <w:rFonts w:ascii="Times New Roman" w:eastAsiaTheme="minorHAnsi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AF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67AF8"/>
    <w:rPr>
      <w:rFonts w:ascii="Times New Roman" w:eastAsiaTheme="minorHAnsi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B4D8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D8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1692</Words>
  <Characters>965</Characters>
  <Application>Microsoft Office Word</Application>
  <DocSecurity>0</DocSecurity>
  <Lines>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51</cp:revision>
  <cp:lastPrinted>2019-05-22T08:52:00Z</cp:lastPrinted>
  <dcterms:created xsi:type="dcterms:W3CDTF">2019-05-21T14:38:00Z</dcterms:created>
  <dcterms:modified xsi:type="dcterms:W3CDTF">2019-05-28T08:04:00Z</dcterms:modified>
</cp:coreProperties>
</file>