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1FE" w:rsidRPr="00E571FE" w:rsidRDefault="00E571FE" w:rsidP="00E571FE">
      <w:pPr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E571FE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Додаток до рішення</w:t>
      </w:r>
    </w:p>
    <w:p w:rsidR="00E571FE" w:rsidRPr="00E571FE" w:rsidRDefault="00E571FE" w:rsidP="00E571FE">
      <w:pPr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E571FE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обласної ради</w:t>
      </w:r>
    </w:p>
    <w:p w:rsidR="00E571FE" w:rsidRPr="00E571FE" w:rsidRDefault="00E571FE" w:rsidP="00E571FE">
      <w:pPr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E571FE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від </w:t>
      </w:r>
      <w:r w:rsidR="00CA65A5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05.03.2020</w:t>
      </w:r>
      <w:r w:rsidRPr="00E571FE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   №</w:t>
      </w:r>
      <w:r w:rsidR="00CA65A5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 1809</w:t>
      </w:r>
      <w:bookmarkStart w:id="0" w:name="_GoBack"/>
      <w:bookmarkEnd w:id="0"/>
    </w:p>
    <w:p w:rsidR="00E571FE" w:rsidRP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P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P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P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P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P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P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P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P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P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P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Pr="00D97F26" w:rsidRDefault="00E571FE" w:rsidP="00E571FE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  <w:t>ПРОГРАМА</w:t>
      </w:r>
    </w:p>
    <w:p w:rsidR="00D97F26" w:rsidRPr="00D97F26" w:rsidRDefault="00E571FE" w:rsidP="00E571FE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  <w:t xml:space="preserve">РОЗВИТКУ ТА ФІНАНСОВОЇ ПІДТРИМКИ </w:t>
      </w:r>
    </w:p>
    <w:p w:rsidR="00D97F26" w:rsidRDefault="00E571FE" w:rsidP="00D97F26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  <w:t>КОМУНАЛЬНОГО НЕКОМЕРЦІЙНОГО ПІДПРИЄМСТВА «ОБЛАСНИЙ ЦЕНТР КРОВІ» ЖИТОМИРСЬКОЇ ОБЛАСНОЇ РАДИ</w:t>
      </w:r>
    </w:p>
    <w:p w:rsidR="00E571FE" w:rsidRPr="00D97F26" w:rsidRDefault="00E571FE" w:rsidP="00D97F26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  <w:t>на 2020 РІК</w:t>
      </w:r>
    </w:p>
    <w:p w:rsidR="00E571FE" w:rsidRPr="00E571FE" w:rsidRDefault="00E571FE" w:rsidP="00E571FE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</w:pPr>
    </w:p>
    <w:p w:rsidR="00E571FE" w:rsidRP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P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P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P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P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P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P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P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P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C11197" w:rsidRDefault="00C11197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571FE" w:rsidRDefault="00E571FE" w:rsidP="00E571FE">
      <w:pPr>
        <w:suppressAutoHyphens/>
        <w:spacing w:after="0" w:line="240" w:lineRule="auto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D97F26" w:rsidRDefault="00D97F26" w:rsidP="00D97F26">
      <w:pPr>
        <w:suppressAutoHyphens/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E77EDD" w:rsidRDefault="00E77EDD" w:rsidP="00FF7A47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</w:pPr>
    </w:p>
    <w:p w:rsidR="00E571FE" w:rsidRPr="00E571FE" w:rsidRDefault="00E571FE" w:rsidP="00FF7A47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E571FE"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  <w:t>Розділ 1. Загальна характеристика Програми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3814"/>
        <w:gridCol w:w="4992"/>
      </w:tblGrid>
      <w:tr w:rsidR="00E571FE" w:rsidRPr="00E571FE" w:rsidTr="00E77EDD">
        <w:trPr>
          <w:trHeight w:val="284"/>
        </w:trPr>
        <w:tc>
          <w:tcPr>
            <w:tcW w:w="692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1.</w:t>
            </w:r>
          </w:p>
        </w:tc>
        <w:tc>
          <w:tcPr>
            <w:tcW w:w="3814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992" w:type="dxa"/>
            <w:vAlign w:val="center"/>
          </w:tcPr>
          <w:p w:rsidR="00E571FE" w:rsidRPr="00E571FE" w:rsidRDefault="00FF7A47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Управління охорони здоров’я обласної державної адміністрації</w:t>
            </w:r>
          </w:p>
        </w:tc>
      </w:tr>
      <w:tr w:rsidR="00E571FE" w:rsidRPr="00E571FE" w:rsidTr="00E77EDD">
        <w:trPr>
          <w:trHeight w:val="284"/>
        </w:trPr>
        <w:tc>
          <w:tcPr>
            <w:tcW w:w="692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2.</w:t>
            </w:r>
          </w:p>
        </w:tc>
        <w:tc>
          <w:tcPr>
            <w:tcW w:w="3814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Програми.</w:t>
            </w:r>
          </w:p>
        </w:tc>
        <w:tc>
          <w:tcPr>
            <w:tcW w:w="4992" w:type="dxa"/>
            <w:vAlign w:val="center"/>
          </w:tcPr>
          <w:p w:rsidR="00E571FE" w:rsidRPr="00E571FE" w:rsidRDefault="00FF7A47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Бюджетний кодекс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України, Закон України «Про місцеве самоврядування», </w:t>
            </w:r>
            <w:r w:rsidR="009B551B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Закон України </w:t>
            </w:r>
            <w:r w:rsidR="00E571FE"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від </w:t>
            </w:r>
            <w:r w:rsidRPr="00FF7A47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28.06.2015 </w:t>
            </w:r>
            <w:r w:rsidR="00E571FE"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«Про дон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орство крові та її компонентів»</w:t>
            </w:r>
          </w:p>
        </w:tc>
      </w:tr>
      <w:tr w:rsidR="00E571FE" w:rsidRPr="00E571FE" w:rsidTr="00E77EDD">
        <w:trPr>
          <w:trHeight w:val="284"/>
        </w:trPr>
        <w:tc>
          <w:tcPr>
            <w:tcW w:w="692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3.</w:t>
            </w:r>
          </w:p>
        </w:tc>
        <w:tc>
          <w:tcPr>
            <w:tcW w:w="3814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Розробник Програми</w:t>
            </w:r>
          </w:p>
        </w:tc>
        <w:tc>
          <w:tcPr>
            <w:tcW w:w="4992" w:type="dxa"/>
            <w:vAlign w:val="center"/>
          </w:tcPr>
          <w:p w:rsidR="00E571FE" w:rsidRPr="00E571FE" w:rsidRDefault="00FF7A47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Управління охорони здоров’я </w:t>
            </w:r>
            <w:r w:rsidR="00E571FE"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обласної державної адміністрації</w:t>
            </w:r>
          </w:p>
        </w:tc>
      </w:tr>
      <w:tr w:rsidR="00E571FE" w:rsidRPr="00E571FE" w:rsidTr="00E77EDD">
        <w:trPr>
          <w:trHeight w:val="284"/>
        </w:trPr>
        <w:tc>
          <w:tcPr>
            <w:tcW w:w="692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4.</w:t>
            </w:r>
          </w:p>
        </w:tc>
        <w:tc>
          <w:tcPr>
            <w:tcW w:w="3814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proofErr w:type="spellStart"/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Співрозробник</w:t>
            </w:r>
            <w:proofErr w:type="spellEnd"/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Програми</w:t>
            </w:r>
          </w:p>
        </w:tc>
        <w:tc>
          <w:tcPr>
            <w:tcW w:w="4992" w:type="dxa"/>
            <w:vAlign w:val="center"/>
          </w:tcPr>
          <w:p w:rsidR="00E571FE" w:rsidRPr="00E571FE" w:rsidRDefault="007B25D9" w:rsidP="007B25D9">
            <w:pPr>
              <w:widowControl w:val="0"/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 xml:space="preserve">Комунальне некомерційне підприємство </w:t>
            </w:r>
            <w:r w:rsidR="00E571FE" w:rsidRPr="00E571F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«Обласний центр крові» Житомирської обласної ради</w:t>
            </w:r>
          </w:p>
        </w:tc>
      </w:tr>
      <w:tr w:rsidR="00E571FE" w:rsidRPr="00E571FE" w:rsidTr="00E77EDD">
        <w:trPr>
          <w:trHeight w:val="284"/>
        </w:trPr>
        <w:tc>
          <w:tcPr>
            <w:tcW w:w="692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5.</w:t>
            </w:r>
          </w:p>
        </w:tc>
        <w:tc>
          <w:tcPr>
            <w:tcW w:w="3814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Відповідальний виконавець</w:t>
            </w:r>
          </w:p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Програми</w:t>
            </w:r>
          </w:p>
        </w:tc>
        <w:tc>
          <w:tcPr>
            <w:tcW w:w="4992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Управління охорони здоров’я обласної державної адміністрації, </w:t>
            </w:r>
            <w:r w:rsidRPr="00E571F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КНП</w:t>
            </w: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 «</w:t>
            </w:r>
            <w:r w:rsidRPr="00E571F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О</w:t>
            </w: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бласний центр крові»</w:t>
            </w:r>
            <w:r w:rsidR="00D97F26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r w:rsidRPr="00E571F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Житомирської обласної ради</w:t>
            </w:r>
          </w:p>
        </w:tc>
      </w:tr>
      <w:tr w:rsidR="00E571FE" w:rsidRPr="00E571FE" w:rsidTr="00E77EDD">
        <w:trPr>
          <w:trHeight w:val="284"/>
        </w:trPr>
        <w:tc>
          <w:tcPr>
            <w:tcW w:w="692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6.</w:t>
            </w:r>
          </w:p>
        </w:tc>
        <w:tc>
          <w:tcPr>
            <w:tcW w:w="3814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Учасники Програми</w:t>
            </w:r>
          </w:p>
        </w:tc>
        <w:tc>
          <w:tcPr>
            <w:tcW w:w="4992" w:type="dxa"/>
            <w:vAlign w:val="center"/>
          </w:tcPr>
          <w:p w:rsidR="00E571FE" w:rsidRPr="00D97F26" w:rsidRDefault="007B25D9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Управління охорони здоров’я </w:t>
            </w: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обласної державної адміністрації</w:t>
            </w:r>
            <w:r w:rsidR="00D97F26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, </w:t>
            </w:r>
            <w:r w:rsidR="00E571FE"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рай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онної </w:t>
            </w:r>
            <w:r w:rsidR="00E571FE"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держа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вної а</w:t>
            </w:r>
            <w:r w:rsidR="00E571FE"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дміністрації, міськвиконкоми, районні ради, громадські організації, об’єднані територіальні громади (за згодою), </w:t>
            </w:r>
            <w:r w:rsidRPr="007B25D9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Комунальне некомерційне підприємство «Обласний центр крові» Житомирської обласної ради</w:t>
            </w:r>
          </w:p>
        </w:tc>
      </w:tr>
      <w:tr w:rsidR="00E571FE" w:rsidRPr="00E571FE" w:rsidTr="00E77EDD">
        <w:trPr>
          <w:trHeight w:val="284"/>
        </w:trPr>
        <w:tc>
          <w:tcPr>
            <w:tcW w:w="692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7.</w:t>
            </w:r>
          </w:p>
        </w:tc>
        <w:tc>
          <w:tcPr>
            <w:tcW w:w="3814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992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2020 рік</w:t>
            </w:r>
          </w:p>
        </w:tc>
      </w:tr>
      <w:tr w:rsidR="00E571FE" w:rsidRPr="00E571FE" w:rsidTr="00E77EDD">
        <w:trPr>
          <w:trHeight w:val="284"/>
        </w:trPr>
        <w:tc>
          <w:tcPr>
            <w:tcW w:w="692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8.</w:t>
            </w:r>
          </w:p>
        </w:tc>
        <w:tc>
          <w:tcPr>
            <w:tcW w:w="3814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Перелік місцевих бюджетів,</w:t>
            </w:r>
          </w:p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які беруть участь у виконанні</w:t>
            </w:r>
          </w:p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Програми</w:t>
            </w:r>
          </w:p>
        </w:tc>
        <w:tc>
          <w:tcPr>
            <w:tcW w:w="4992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Обласний</w:t>
            </w:r>
            <w:r w:rsidR="007B25D9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бюджет</w:t>
            </w: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, районні та міські бюджети, бюджети об’єднаних територіальних громад</w:t>
            </w:r>
          </w:p>
        </w:tc>
      </w:tr>
      <w:tr w:rsidR="00E571FE" w:rsidRPr="00E571FE" w:rsidTr="00E77EDD">
        <w:trPr>
          <w:trHeight w:val="284"/>
        </w:trPr>
        <w:tc>
          <w:tcPr>
            <w:tcW w:w="692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9.</w:t>
            </w:r>
          </w:p>
        </w:tc>
        <w:tc>
          <w:tcPr>
            <w:tcW w:w="3814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Загальний обсяг фінансових ресурсів, необхідних для реалізації</w:t>
            </w:r>
          </w:p>
        </w:tc>
        <w:tc>
          <w:tcPr>
            <w:tcW w:w="4992" w:type="dxa"/>
            <w:vAlign w:val="center"/>
          </w:tcPr>
          <w:p w:rsidR="00E571FE" w:rsidRPr="00E571FE" w:rsidRDefault="00E571FE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У межах фінансових можливостей бюджетів</w:t>
            </w:r>
          </w:p>
        </w:tc>
      </w:tr>
      <w:tr w:rsidR="007B25D9" w:rsidRPr="00E571FE" w:rsidTr="00E77EDD">
        <w:trPr>
          <w:trHeight w:val="284"/>
        </w:trPr>
        <w:tc>
          <w:tcPr>
            <w:tcW w:w="692" w:type="dxa"/>
            <w:vAlign w:val="center"/>
          </w:tcPr>
          <w:p w:rsidR="007B25D9" w:rsidRPr="00E571FE" w:rsidRDefault="007B25D9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9.1</w:t>
            </w:r>
          </w:p>
        </w:tc>
        <w:tc>
          <w:tcPr>
            <w:tcW w:w="3814" w:type="dxa"/>
            <w:vAlign w:val="center"/>
          </w:tcPr>
          <w:p w:rsidR="007B25D9" w:rsidRPr="00E571FE" w:rsidRDefault="007B25D9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В тому числі бюджетних коштів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– </w:t>
            </w: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них коштів обласного бюджету</w:t>
            </w:r>
          </w:p>
        </w:tc>
        <w:tc>
          <w:tcPr>
            <w:tcW w:w="4992" w:type="dxa"/>
            <w:vAlign w:val="center"/>
          </w:tcPr>
          <w:p w:rsidR="007B25D9" w:rsidRPr="00E571FE" w:rsidRDefault="007B25D9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У межах фінансових можливостей бюджетів</w:t>
            </w:r>
          </w:p>
        </w:tc>
      </w:tr>
      <w:tr w:rsidR="007B25D9" w:rsidRPr="00E571FE" w:rsidTr="00E77EDD">
        <w:trPr>
          <w:trHeight w:val="284"/>
        </w:trPr>
        <w:tc>
          <w:tcPr>
            <w:tcW w:w="692" w:type="dxa"/>
            <w:vAlign w:val="center"/>
          </w:tcPr>
          <w:p w:rsidR="007B25D9" w:rsidRPr="00E571FE" w:rsidRDefault="007B25D9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10.</w:t>
            </w:r>
          </w:p>
        </w:tc>
        <w:tc>
          <w:tcPr>
            <w:tcW w:w="3814" w:type="dxa"/>
            <w:vAlign w:val="center"/>
          </w:tcPr>
          <w:p w:rsidR="007B25D9" w:rsidRPr="00E571FE" w:rsidRDefault="007B25D9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Основні джерела фінансування програми </w:t>
            </w:r>
          </w:p>
        </w:tc>
        <w:tc>
          <w:tcPr>
            <w:tcW w:w="4992" w:type="dxa"/>
            <w:vAlign w:val="center"/>
          </w:tcPr>
          <w:p w:rsidR="007B25D9" w:rsidRPr="00E571FE" w:rsidRDefault="007B25D9" w:rsidP="007B25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1" w:hangingChars="1" w:hanging="3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</w:pP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Обласний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бюджет</w:t>
            </w: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, районні та міські бюджети, бюджети об’єднаних територіальних громад</w:t>
            </w:r>
          </w:p>
        </w:tc>
      </w:tr>
    </w:tbl>
    <w:p w:rsidR="00E54265" w:rsidRDefault="00E54265" w:rsidP="00D97F26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</w:pPr>
    </w:p>
    <w:p w:rsidR="00E54265" w:rsidRDefault="00E54265" w:rsidP="00D97F26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</w:pPr>
    </w:p>
    <w:p w:rsidR="00E54265" w:rsidRDefault="00E54265" w:rsidP="00D97F26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</w:pPr>
    </w:p>
    <w:p w:rsidR="00E54265" w:rsidRDefault="00E54265" w:rsidP="00D97F26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</w:pPr>
    </w:p>
    <w:p w:rsidR="00E54265" w:rsidRDefault="00E54265" w:rsidP="00D97F26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</w:pPr>
    </w:p>
    <w:p w:rsidR="00D97F26" w:rsidRPr="00D97F26" w:rsidRDefault="00D97F26" w:rsidP="00D97F26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  <w:t>Розділ 2. Визначення проблеми, на розв’язання якої</w:t>
      </w:r>
    </w:p>
    <w:p w:rsidR="00927E16" w:rsidRPr="00D97F26" w:rsidRDefault="00D97F26" w:rsidP="00927E16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  <w:t>спрямована Програма</w:t>
      </w:r>
    </w:p>
    <w:p w:rsidR="00D97F26" w:rsidRPr="00D97F26" w:rsidRDefault="00D97F26" w:rsidP="009B55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За останні десять років (2009-2019 рр.) негативні тенденції в  службі крові України вплинули і на розвиток служби крові Житомирської області та КНП «Обласний центр крові» ЖОР (надалі – Центр крові). </w:t>
      </w:r>
    </w:p>
    <w:p w:rsidR="00D97F26" w:rsidRPr="00D97F26" w:rsidRDefault="00D97F26" w:rsidP="009B55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Для забезпечення діяльності КНП щорічна потреба в коштах, обрахована згідно замовлень лікарень, складає 24 млн. грн. Рівень забезпечення потреби в 2019 р. склав 48 %.</w:t>
      </w:r>
    </w:p>
    <w:p w:rsidR="00D97F26" w:rsidRPr="00D97F26" w:rsidRDefault="00D97F26" w:rsidP="009B55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За 5 років загальна кількість донацій крові та її компонентів зменшилась на 34,8%. Кожен донор отримує 20 грн. на підсилене харчування.</w:t>
      </w:r>
    </w:p>
    <w:p w:rsidR="00D97F26" w:rsidRPr="00D97F26" w:rsidRDefault="00D97F26" w:rsidP="009B55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Якість і безпека компонентів крові залежать від оснащення Центру крові. Для заготовлення та розподілу крові на компоненти, їх зберігання та лабораторні дослідження застосовуються ручні технології, рівень автоматизації складає не більше  20,0%. Через нестабільність забезпечення витратними матеріалами для </w:t>
      </w:r>
      <w:proofErr w:type="spellStart"/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аферезу</w:t>
      </w:r>
      <w:proofErr w:type="spellEnd"/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, питома вага плазми, заготовленої методом </w:t>
      </w:r>
      <w:proofErr w:type="spellStart"/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аферезу</w:t>
      </w:r>
      <w:proofErr w:type="spellEnd"/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, зменшилась з 32,7% в 2015 р. до 12,4 % в 2019 р. (</w:t>
      </w:r>
      <w:proofErr w:type="spellStart"/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аферез</w:t>
      </w:r>
      <w:proofErr w:type="spellEnd"/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 – вилучення одного або двох компонентів крові за допомогою апаратів).</w:t>
      </w:r>
    </w:p>
    <w:p w:rsidR="00D97F26" w:rsidRPr="00D97F26" w:rsidRDefault="00D97F26" w:rsidP="009B55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Концентрат тромбоцитів (КТ) забезпечує повний цикл лікування </w:t>
      </w:r>
      <w:proofErr w:type="spellStart"/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онкогематологічних</w:t>
      </w:r>
      <w:proofErr w:type="spellEnd"/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 пацієнтів. В 2019 році виготовлено 1151 доз КТ, загальна потреба складає 1900 доз на рік. Відсутня технологія виготовлення КТ з 4-5 доз консервованої крові, яка дає значну економію коштів. Працює один апарат потужністю 4 донори в зміну при потребі 10-12 донорів. </w:t>
      </w:r>
    </w:p>
    <w:p w:rsidR="00D97F26" w:rsidRPr="00D97F26" w:rsidRDefault="00D97F26" w:rsidP="009B55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Щорічна прогнозована потреба області в компонентах крові визначається по заявках лікувальних закладів і складає 12 тис доз свіжозамороженої  плазми, 8000 доз, еритроцитів, 1900 доз концентру, тромбоцитів – 1100 доз та </w:t>
      </w:r>
      <w:proofErr w:type="spellStart"/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кріопреципітат</w:t>
      </w:r>
      <w:proofErr w:type="spellEnd"/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 – 720 доз. В 2019 році в закладах охорони здоров'я області проведено 15 тисяч переливань компонентів крові. Рівень виконання поточних замовлень лікувальних закладів становив: еритроцитами – 86,8%, плазмою – 99,1%, тромбоцитами – 58,8 %.</w:t>
      </w:r>
    </w:p>
    <w:p w:rsidR="00D97F26" w:rsidRPr="00D97F26" w:rsidRDefault="00D97F26" w:rsidP="009B55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Для заготовлення донорської крові, виготовлення компонентів крові та проведення лабораторних досліджень використовується 321 одиниця технологічного обладнання, з них 82,4 % перевищили термін експлуатації. В процесі отримання компонентів крові використовуються застарілі технології 70-80-х років. Для заміни старого обладнання у 2005-2007 роках виділені кошти в розмірі 6 % від потреби, в 2008 - 2019 рр.. кошти на нове обладнання не виділялись. Загальний рівень зношеності майна складає 79,0%. Через 2-3 роки зношеність майна складе 100 %, а подальша його експлуатація буде небезпечною для персоналу. </w:t>
      </w:r>
    </w:p>
    <w:p w:rsidR="00D97F26" w:rsidRPr="00D97F26" w:rsidRDefault="00D97F26" w:rsidP="009B55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В період 1995-1998 рр. проведено капітальний ремонт і реконструкція приміщення в об’ємі 65% ремонтних робіт передбачених проектом. Заміни і ремонту потребує система опалення, водопостачання, дерев’яні вікна, дах і зовнішнє утеплення.</w:t>
      </w:r>
    </w:p>
    <w:p w:rsidR="00D97F26" w:rsidRPr="00D97F26" w:rsidRDefault="00D97F26" w:rsidP="009B55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lastRenderedPageBreak/>
        <w:t xml:space="preserve">Впровадження в медичну практику сучасних методів лікування (міжнародних протоколів в </w:t>
      </w:r>
      <w:proofErr w:type="spellStart"/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онкогематології</w:t>
      </w:r>
      <w:proofErr w:type="spellEnd"/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 із обов’язковим використанням концентрату тромбоцитів), збільшення обсягів високотехнологічних оперативних </w:t>
      </w:r>
      <w:proofErr w:type="spellStart"/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втручань</w:t>
      </w:r>
      <w:proofErr w:type="spellEnd"/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 (відкрито центр кардіохірургії в обласній клінічній лікарні) та зростання кількості постраждалих від аварій, надзвичайних станів і поранених у війні на сході потребує від центру крові збільшення обсягів заготовлення компонентів крові.</w:t>
      </w:r>
    </w:p>
    <w:p w:rsidR="00D97F26" w:rsidRPr="00D97F26" w:rsidRDefault="00D97F26" w:rsidP="009B55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Збереження негативних тенденцій в донорстві, відсутність сучасних технологій отримання компонентів крові, системи їх зберігання і тестування  та ефективних методів інактивації вірусів в компонентах крові, поверне службу крові області до рівня 70 - х років. </w:t>
      </w:r>
    </w:p>
    <w:p w:rsidR="00D97F26" w:rsidRPr="00D97F26" w:rsidRDefault="00D97F26" w:rsidP="009B55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Заміна обладнання та модернізація технологічних процесів заготовлення, зберігання і транспортування донорської крові та її компонентів, лабораторного обстеження, інформаційного і матеріально-технічного забезпечення потребує фінансових вкладень в межах 60-65 млн. грн. </w:t>
      </w:r>
    </w:p>
    <w:p w:rsidR="00D97F26" w:rsidRPr="00D97F26" w:rsidRDefault="00D97F26" w:rsidP="009B55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Реалізація передбачених Програмою заходів дасть можливість суттєво поліпшити якість і безпеку продуктів донорської крові.</w:t>
      </w:r>
    </w:p>
    <w:p w:rsidR="00D97F26" w:rsidRPr="00D97F26" w:rsidRDefault="00D97F26" w:rsidP="00D97F26">
      <w:pPr>
        <w:suppressAutoHyphens/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927E16" w:rsidRDefault="00D97F26" w:rsidP="00927E16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  <w:t>Розділ 3. Визначення мети Програми</w:t>
      </w:r>
    </w:p>
    <w:p w:rsidR="003C1835" w:rsidRPr="00927E16" w:rsidRDefault="003C1835" w:rsidP="00927E16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</w:pPr>
    </w:p>
    <w:p w:rsidR="00D97F26" w:rsidRPr="00D97F26" w:rsidRDefault="00D97F26" w:rsidP="009B55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Метою Програми – забезпечення потреби і доступності населення області до якісних та безпечних компонентів крові, які отримані від добровільних безоплатних донорів. </w:t>
      </w:r>
    </w:p>
    <w:p w:rsidR="00D97F26" w:rsidRPr="00D97F26" w:rsidRDefault="00D97F26" w:rsidP="009B55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Основні завдання:</w:t>
      </w:r>
    </w:p>
    <w:p w:rsidR="00D97F26" w:rsidRPr="00D97F26" w:rsidRDefault="00D97F26" w:rsidP="009B551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Chars="1" w:left="425" w:hangingChars="151" w:hanging="423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збільшити заготовлення крові в містах і районах області із залученням бригади фахівців ОЦК;</w:t>
      </w:r>
    </w:p>
    <w:p w:rsidR="00D97F26" w:rsidRPr="00D97F26" w:rsidRDefault="00D97F26" w:rsidP="009B551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Chars="1" w:left="425" w:hangingChars="151" w:hanging="423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провести модернізацію оснащення Комунального некомерційного підприємства «Обласний центр крові» Житомирської обласної ради згідно нормативних вимог Міністерства охорони здоров’я України;</w:t>
      </w:r>
    </w:p>
    <w:p w:rsidR="00D97F26" w:rsidRPr="00D97F26" w:rsidRDefault="00D97F26" w:rsidP="009B551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Chars="1" w:left="425" w:hangingChars="151" w:hanging="423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забезпечити якість і безпеку компонентів донорської крові;</w:t>
      </w:r>
    </w:p>
    <w:p w:rsidR="00D97F26" w:rsidRPr="00D97F26" w:rsidRDefault="00D97F26" w:rsidP="009B551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Chars="1" w:left="425" w:hangingChars="151" w:hanging="423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сформувати в області систему управління запасами компонентів крові;</w:t>
      </w:r>
    </w:p>
    <w:p w:rsidR="00D97F26" w:rsidRPr="00D97F26" w:rsidRDefault="00D97F26" w:rsidP="009B551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Chars="1" w:left="425" w:hangingChars="151" w:hanging="423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забезпечити економічну ефективність діяльності центру крові.</w:t>
      </w:r>
    </w:p>
    <w:p w:rsidR="009B551B" w:rsidRDefault="009B551B" w:rsidP="009B551B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</w:pPr>
    </w:p>
    <w:p w:rsidR="00D97F26" w:rsidRDefault="00D97F26" w:rsidP="00927E16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  <w:t>Розділ 4. Шляхи і засоби розв'язання проблеми, обсяг та джерела фінансування; строки та етапи виконання Програми</w:t>
      </w:r>
    </w:p>
    <w:p w:rsidR="003C1835" w:rsidRPr="00D97F26" w:rsidRDefault="003C1835" w:rsidP="00927E16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D97F26" w:rsidRPr="00D97F26" w:rsidRDefault="00D97F26" w:rsidP="009B55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Для реалізації основних завдань упродовж 2020 року необхідно виконати наступні заходи:</w:t>
      </w:r>
    </w:p>
    <w:p w:rsidR="00D97F26" w:rsidRDefault="00D97F26" w:rsidP="009B551B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Модернізація технологічного процесу заготовлення крові придбати: донорські крісла, електронні ваги-мішалки.</w:t>
      </w:r>
    </w:p>
    <w:p w:rsidR="003C1835" w:rsidRPr="00D97F26" w:rsidRDefault="003C1835" w:rsidP="003C183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D97F26" w:rsidRDefault="00D97F26" w:rsidP="009B551B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Для забезпечення своєчасного доступу пацієнтів до безпечних донорських тромбоцитів гарантованої якості і ефективності з метою </w:t>
      </w: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lastRenderedPageBreak/>
        <w:t>досягнення самозабезпеченості області, як важливої складової системи надання медичної допомоги населенню придбати одноразових наборів для заготівлі концентрату тромбоцитів.</w:t>
      </w:r>
    </w:p>
    <w:p w:rsidR="003C1835" w:rsidRPr="00D97F26" w:rsidRDefault="003C1835" w:rsidP="003C183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D97F26" w:rsidRDefault="00D97F26" w:rsidP="009B551B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Для збільшення кількості донорів і залучення населення міст і районів до донорства придбати спеціалізований транспорт для заготовлення донорської крові та її компонентів у виїзних умовах.</w:t>
      </w:r>
    </w:p>
    <w:p w:rsidR="003C1835" w:rsidRPr="00D97F26" w:rsidRDefault="003C1835" w:rsidP="003C183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D97F26" w:rsidRDefault="00D97F26" w:rsidP="009B551B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З метою підвищення якості лабораторного обстеження донорів придбати</w:t>
      </w:r>
      <w:r w:rsidRPr="00D97F26">
        <w:rPr>
          <w:rFonts w:ascii="Times New Roman" w:eastAsia="Times New Roman" w:hAnsi="Times New Roman" w:cs="Angsana New"/>
          <w:sz w:val="28"/>
          <w:szCs w:val="28"/>
          <w:lang w:val="ru-RU" w:eastAsia="th-TH" w:bidi="th-TH"/>
        </w:rPr>
        <w:t xml:space="preserve"> </w:t>
      </w:r>
      <w:proofErr w:type="spellStart"/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імуногематологічний</w:t>
      </w:r>
      <w:proofErr w:type="spellEnd"/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 аналізатор.</w:t>
      </w:r>
    </w:p>
    <w:p w:rsidR="003C1835" w:rsidRDefault="003C1835" w:rsidP="003C1835">
      <w:pPr>
        <w:pStyle w:val="aa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D97F26" w:rsidRDefault="00D97F26" w:rsidP="009B551B">
      <w:pPr>
        <w:numPr>
          <w:ilvl w:val="0"/>
          <w:numId w:val="2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Проведення </w:t>
      </w:r>
      <w:proofErr w:type="spellStart"/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термосанації</w:t>
      </w:r>
      <w:proofErr w:type="spellEnd"/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 будівлі КНП передбачає утеплення зовнішніх стін будівлі головного корпусу, зміна вікон та ремонт теплової мережи.</w:t>
      </w:r>
    </w:p>
    <w:p w:rsidR="003C1835" w:rsidRPr="00D97F26" w:rsidRDefault="003C1835" w:rsidP="003C1835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D97F26" w:rsidRPr="00D97F26" w:rsidRDefault="00D97F26" w:rsidP="009B55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Програма передбачає створення нових елементів системи і їх інтеграція в існуючу систему шляхом комплексного підходу до формування нової фінансово-юридичної науково-обґрунтованої моделі регіональної служби крові.</w:t>
      </w:r>
    </w:p>
    <w:p w:rsidR="00D97F26" w:rsidRPr="00D97F26" w:rsidRDefault="00D97F26" w:rsidP="009B55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Реалізація програми збільшить рівень забезпечення лікарень компонентами крові та підвищить рівень відповідності крові, еритроцитів і плазми не менше 90 % і тромбоцитів не менше 75 % (рекомендований Радою Європи рівень відповідності для СЗП та еритроцитів – 90%, тромбоцити – 75%).</w:t>
      </w:r>
    </w:p>
    <w:p w:rsidR="00D97F26" w:rsidRPr="00D97F26" w:rsidRDefault="00D97F26" w:rsidP="009B55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Загальний обсяг фінансування Програми на 2020 рік становить 9742,4 тис. гр</w:t>
      </w:r>
      <w:r w:rsidR="0070477E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н. </w:t>
      </w: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(в межах фінансових можливостей).</w:t>
      </w:r>
    </w:p>
    <w:p w:rsidR="00D97F26" w:rsidRPr="00D97F26" w:rsidRDefault="00D97F26" w:rsidP="009B55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Забезпечення реалізації заходів, передбачених Програмою, здійснюватиметься за рахунок коштів </w:t>
      </w:r>
      <w:r w:rsidR="00320A9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обласного</w:t>
      </w:r>
      <w:r w:rsidR="00320A96" w:rsidRPr="00320A9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 бюджет</w:t>
      </w:r>
      <w:r w:rsidR="00320A9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у</w:t>
      </w:r>
      <w:r w:rsidR="00320A96" w:rsidRPr="00320A9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, районн</w:t>
      </w:r>
      <w:r w:rsidR="00320A9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их</w:t>
      </w:r>
      <w:r w:rsidR="00320A96" w:rsidRPr="00320A9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 та міськ</w:t>
      </w:r>
      <w:r w:rsidR="00320A9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их бюджетів, бюджетів</w:t>
      </w:r>
      <w:r w:rsidR="00320A96" w:rsidRPr="00320A9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 об’єднаних територіальних громад </w:t>
      </w: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та шляхом застосування різних форм державно-приватного партнерства.</w:t>
      </w:r>
    </w:p>
    <w:p w:rsidR="00D97F26" w:rsidRPr="00D97F26" w:rsidRDefault="00D97F26" w:rsidP="009B55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Прогр</w:t>
      </w:r>
      <w:r w:rsidR="00927E1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ама виконується протягом </w:t>
      </w: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2020 року.</w:t>
      </w:r>
    </w:p>
    <w:p w:rsidR="009B551B" w:rsidRDefault="009B551B" w:rsidP="009B551B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</w:pPr>
    </w:p>
    <w:p w:rsidR="00C12713" w:rsidRDefault="00D97F26" w:rsidP="00393091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  <w:t>Розділ 5. Перелік завдань (напрямів) і заходів Програми та результативні показники</w:t>
      </w:r>
    </w:p>
    <w:p w:rsidR="00D97F26" w:rsidRPr="00D97F26" w:rsidRDefault="00D97F26" w:rsidP="00927E16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Ресурсне забезпечення обласної Програми розвитку та фінансової підтримки</w:t>
      </w:r>
    </w:p>
    <w:p w:rsidR="009B551B" w:rsidRPr="00D97F26" w:rsidRDefault="00C12713" w:rsidP="00927E16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на 2020 рік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4394"/>
      </w:tblGrid>
      <w:tr w:rsidR="00C12713" w:rsidRPr="00695319" w:rsidTr="00E77EDD">
        <w:trPr>
          <w:trHeight w:val="70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713" w:rsidRPr="00695319" w:rsidRDefault="00695319" w:rsidP="00320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4"/>
                <w:szCs w:val="26"/>
                <w:lang w:eastAsia="th-TH" w:bidi="th-TH"/>
              </w:rPr>
            </w:pPr>
            <w:r w:rsidRPr="00695319">
              <w:rPr>
                <w:rFonts w:ascii="Times New Roman" w:eastAsia="Times New Roman" w:hAnsi="Times New Roman" w:cs="Angsana New"/>
                <w:b/>
                <w:sz w:val="24"/>
                <w:szCs w:val="26"/>
                <w:lang w:eastAsia="th-TH" w:bidi="th-TH"/>
              </w:rPr>
              <w:t xml:space="preserve">Обсяг коштів, які плануються залучити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713" w:rsidRPr="00695319" w:rsidRDefault="00C12713" w:rsidP="00320A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4"/>
                <w:szCs w:val="26"/>
                <w:lang w:eastAsia="th-TH" w:bidi="th-TH"/>
              </w:rPr>
            </w:pPr>
          </w:p>
        </w:tc>
      </w:tr>
      <w:tr w:rsidR="00C12713" w:rsidRPr="00320A96" w:rsidTr="00E77EDD">
        <w:trPr>
          <w:trHeight w:val="28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713" w:rsidRPr="00320A96" w:rsidRDefault="00C12713" w:rsidP="00E77EDD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6"/>
                <w:szCs w:val="26"/>
                <w:lang w:eastAsia="th-TH" w:bidi="th-TH"/>
              </w:rPr>
            </w:pPr>
            <w:r w:rsidRPr="00320A96">
              <w:rPr>
                <w:rFonts w:ascii="Times New Roman" w:eastAsia="Times New Roman" w:hAnsi="Times New Roman" w:cs="Angsana New"/>
                <w:sz w:val="26"/>
                <w:szCs w:val="26"/>
                <w:lang w:eastAsia="th-TH" w:bidi="th-TH"/>
              </w:rPr>
              <w:t>Обсяг ресурсів всього, в тому числі: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713" w:rsidRPr="00320A96" w:rsidRDefault="00C12713" w:rsidP="00E77E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6"/>
                <w:szCs w:val="26"/>
                <w:lang w:eastAsia="th-TH" w:bidi="th-TH"/>
              </w:rPr>
            </w:pPr>
            <w:r w:rsidRPr="00320A96">
              <w:rPr>
                <w:rFonts w:ascii="Times New Roman" w:eastAsia="Times New Roman" w:hAnsi="Times New Roman" w:cs="Angsana New"/>
                <w:sz w:val="26"/>
                <w:szCs w:val="26"/>
                <w:lang w:eastAsia="th-TH" w:bidi="th-TH"/>
              </w:rPr>
              <w:t>У межах фінансових можливостей</w:t>
            </w:r>
          </w:p>
        </w:tc>
      </w:tr>
      <w:tr w:rsidR="00C12713" w:rsidRPr="00320A96" w:rsidTr="00E77EDD">
        <w:trPr>
          <w:trHeight w:val="28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713" w:rsidRPr="00320A96" w:rsidRDefault="00C12713" w:rsidP="00E77EDD">
            <w:pPr>
              <w:suppressAutoHyphens/>
              <w:spacing w:after="0" w:line="240" w:lineRule="auto"/>
              <w:ind w:hanging="174"/>
              <w:rPr>
                <w:rFonts w:ascii="Times New Roman" w:eastAsia="Times New Roman" w:hAnsi="Times New Roman" w:cs="Angsana New"/>
                <w:sz w:val="26"/>
                <w:szCs w:val="26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6"/>
                <w:szCs w:val="26"/>
                <w:lang w:eastAsia="th-TH" w:bidi="th-TH"/>
              </w:rPr>
              <w:t xml:space="preserve">- </w:t>
            </w:r>
            <w:r w:rsidRPr="00320A96">
              <w:rPr>
                <w:rFonts w:ascii="Times New Roman" w:eastAsia="Times New Roman" w:hAnsi="Times New Roman" w:cs="Angsana New"/>
                <w:sz w:val="26"/>
                <w:szCs w:val="26"/>
                <w:lang w:eastAsia="th-TH" w:bidi="th-TH"/>
              </w:rPr>
              <w:t>обласний бюджет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713" w:rsidRPr="00320A96" w:rsidRDefault="00C12713" w:rsidP="00E77ED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6"/>
                <w:szCs w:val="26"/>
                <w:lang w:eastAsia="th-TH" w:bidi="th-TH"/>
              </w:rPr>
            </w:pPr>
            <w:r w:rsidRPr="00320A96">
              <w:rPr>
                <w:rFonts w:ascii="Times New Roman" w:eastAsia="Times New Roman" w:hAnsi="Times New Roman" w:cs="Angsana New"/>
                <w:sz w:val="26"/>
                <w:szCs w:val="26"/>
                <w:lang w:eastAsia="th-TH" w:bidi="th-TH"/>
              </w:rPr>
              <w:t>У межах фінансових можливостей</w:t>
            </w:r>
          </w:p>
        </w:tc>
      </w:tr>
      <w:tr w:rsidR="00C12713" w:rsidRPr="00320A96" w:rsidTr="00E77EDD">
        <w:trPr>
          <w:trHeight w:val="28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713" w:rsidRPr="009F49A1" w:rsidRDefault="00C12713" w:rsidP="00E77EDD">
            <w:pPr>
              <w:suppressAutoHyphens/>
              <w:spacing w:after="0" w:line="240" w:lineRule="auto"/>
              <w:ind w:hanging="174"/>
              <w:rPr>
                <w:rFonts w:ascii="Times New Roman" w:eastAsia="Times New Roman" w:hAnsi="Times New Roman" w:cs="Angsana New"/>
                <w:sz w:val="26"/>
                <w:szCs w:val="26"/>
                <w:lang w:eastAsia="th-TH" w:bidi="th-TH"/>
              </w:rPr>
            </w:pPr>
            <w:r w:rsidRPr="009F49A1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 </w:t>
            </w:r>
            <w:r w:rsidRPr="009F49A1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районні та міські бюджети,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713" w:rsidRDefault="00C12713" w:rsidP="00E77EDD">
            <w:pPr>
              <w:jc w:val="center"/>
            </w:pPr>
            <w:r w:rsidRPr="00EC4CAC">
              <w:rPr>
                <w:rFonts w:ascii="Times New Roman" w:eastAsia="Times New Roman" w:hAnsi="Times New Roman" w:cs="Angsana New"/>
                <w:sz w:val="26"/>
                <w:szCs w:val="26"/>
                <w:lang w:eastAsia="th-TH" w:bidi="th-TH"/>
              </w:rPr>
              <w:t>У межах фінансових можливостей</w:t>
            </w:r>
          </w:p>
        </w:tc>
      </w:tr>
      <w:tr w:rsidR="00C12713" w:rsidRPr="00320A96" w:rsidTr="00E77EDD">
        <w:trPr>
          <w:trHeight w:val="284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713" w:rsidRPr="00320A96" w:rsidRDefault="00C12713" w:rsidP="00E77EDD">
            <w:pPr>
              <w:suppressAutoHyphens/>
              <w:spacing w:after="0" w:line="240" w:lineRule="auto"/>
              <w:ind w:hanging="174"/>
              <w:rPr>
                <w:rFonts w:ascii="Times New Roman" w:eastAsia="Times New Roman" w:hAnsi="Times New Roman" w:cs="Angsana New"/>
                <w:sz w:val="26"/>
                <w:szCs w:val="26"/>
                <w:lang w:eastAsia="th-TH" w:bidi="th-TH"/>
              </w:rPr>
            </w:pPr>
            <w:r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 xml:space="preserve">- </w:t>
            </w:r>
            <w:r w:rsidRPr="00E571FE">
              <w:rPr>
                <w:rFonts w:ascii="Times New Roman" w:hAnsi="Times New Roman" w:cs="Times New Roman"/>
                <w:color w:val="000000"/>
                <w:position w:val="-1"/>
                <w:sz w:val="28"/>
                <w:szCs w:val="28"/>
              </w:rPr>
              <w:t>бюджети об’єднаних територіальних громад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713" w:rsidRDefault="00C12713" w:rsidP="00E77EDD">
            <w:pPr>
              <w:jc w:val="center"/>
            </w:pPr>
            <w:r w:rsidRPr="00EC4CAC">
              <w:rPr>
                <w:rFonts w:ascii="Times New Roman" w:eastAsia="Times New Roman" w:hAnsi="Times New Roman" w:cs="Angsana New"/>
                <w:sz w:val="26"/>
                <w:szCs w:val="26"/>
                <w:lang w:eastAsia="th-TH" w:bidi="th-TH"/>
              </w:rPr>
              <w:t>У межах фінансових можливостей</w:t>
            </w:r>
          </w:p>
        </w:tc>
      </w:tr>
    </w:tbl>
    <w:p w:rsidR="003C1835" w:rsidRDefault="003C1835" w:rsidP="00927E16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D97F26" w:rsidRPr="00D97F26" w:rsidRDefault="00D97F26" w:rsidP="00927E16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lastRenderedPageBreak/>
        <w:t>Показники продукту обласної Програми  розвитку та фінансової підтримки</w:t>
      </w:r>
    </w:p>
    <w:p w:rsidR="00D97F26" w:rsidRDefault="004D1783" w:rsidP="00E31038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на 2020 рік</w:t>
      </w:r>
    </w:p>
    <w:tbl>
      <w:tblPr>
        <w:tblStyle w:val="ab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3"/>
        <w:gridCol w:w="2151"/>
        <w:gridCol w:w="992"/>
        <w:gridCol w:w="1276"/>
        <w:gridCol w:w="2126"/>
        <w:gridCol w:w="2694"/>
      </w:tblGrid>
      <w:tr w:rsidR="00E31038" w:rsidTr="00E77EDD">
        <w:trPr>
          <w:trHeight w:val="284"/>
        </w:trPr>
        <w:tc>
          <w:tcPr>
            <w:tcW w:w="543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№</w:t>
            </w:r>
          </w:p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з/п</w:t>
            </w:r>
          </w:p>
        </w:tc>
        <w:tc>
          <w:tcPr>
            <w:tcW w:w="2151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Назва показника</w:t>
            </w:r>
          </w:p>
        </w:tc>
        <w:tc>
          <w:tcPr>
            <w:tcW w:w="992" w:type="dxa"/>
            <w:vAlign w:val="center"/>
          </w:tcPr>
          <w:p w:rsidR="00E31038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 xml:space="preserve">Одиниця </w:t>
            </w:r>
          </w:p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виміру</w:t>
            </w:r>
          </w:p>
        </w:tc>
        <w:tc>
          <w:tcPr>
            <w:tcW w:w="1276" w:type="dxa"/>
            <w:vAlign w:val="center"/>
          </w:tcPr>
          <w:p w:rsidR="00E31038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Вихідні дані на початок дії Програми</w:t>
            </w:r>
          </w:p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2019 рік</w:t>
            </w:r>
          </w:p>
        </w:tc>
        <w:tc>
          <w:tcPr>
            <w:tcW w:w="2126" w:type="dxa"/>
            <w:vAlign w:val="center"/>
          </w:tcPr>
          <w:p w:rsidR="00E31038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Прогнозні значення показників успішності станом на завершення бюджетного року</w:t>
            </w:r>
          </w:p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2020 рік</w:t>
            </w:r>
          </w:p>
        </w:tc>
        <w:tc>
          <w:tcPr>
            <w:tcW w:w="2694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Джерела інформації показників</w:t>
            </w:r>
          </w:p>
          <w:p w:rsidR="00E31038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</w:pPr>
          </w:p>
        </w:tc>
      </w:tr>
      <w:tr w:rsidR="00E77EDD" w:rsidTr="00E77EDD">
        <w:trPr>
          <w:trHeight w:val="284"/>
        </w:trPr>
        <w:tc>
          <w:tcPr>
            <w:tcW w:w="543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1</w:t>
            </w:r>
          </w:p>
        </w:tc>
        <w:tc>
          <w:tcPr>
            <w:tcW w:w="2151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2</w:t>
            </w:r>
          </w:p>
        </w:tc>
        <w:tc>
          <w:tcPr>
            <w:tcW w:w="992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3</w:t>
            </w:r>
          </w:p>
        </w:tc>
        <w:tc>
          <w:tcPr>
            <w:tcW w:w="1276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4</w:t>
            </w:r>
          </w:p>
        </w:tc>
        <w:tc>
          <w:tcPr>
            <w:tcW w:w="2126" w:type="dxa"/>
            <w:vAlign w:val="center"/>
          </w:tcPr>
          <w:p w:rsidR="00E31038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5</w:t>
            </w:r>
          </w:p>
        </w:tc>
        <w:tc>
          <w:tcPr>
            <w:tcW w:w="2694" w:type="dxa"/>
            <w:vAlign w:val="center"/>
          </w:tcPr>
          <w:p w:rsidR="00E31038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6</w:t>
            </w:r>
          </w:p>
        </w:tc>
      </w:tr>
      <w:tr w:rsidR="00E31038" w:rsidRPr="00E31038" w:rsidTr="00E77EDD">
        <w:trPr>
          <w:trHeight w:val="284"/>
        </w:trPr>
        <w:tc>
          <w:tcPr>
            <w:tcW w:w="543" w:type="dxa"/>
            <w:vAlign w:val="center"/>
          </w:tcPr>
          <w:p w:rsidR="00E31038" w:rsidRPr="00E31038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b/>
                <w:sz w:val="24"/>
                <w:szCs w:val="24"/>
                <w:lang w:eastAsia="th-TH" w:bidi="th-TH"/>
              </w:rPr>
            </w:pPr>
            <w:r w:rsidRPr="00E31038">
              <w:rPr>
                <w:rFonts w:ascii="Times New Roman" w:eastAsia="Times New Roman" w:hAnsi="Times New Roman" w:cs="Angsana New"/>
                <w:b/>
                <w:sz w:val="24"/>
                <w:szCs w:val="24"/>
                <w:lang w:eastAsia="th-TH" w:bidi="th-TH"/>
              </w:rPr>
              <w:t>І</w:t>
            </w:r>
          </w:p>
        </w:tc>
        <w:tc>
          <w:tcPr>
            <w:tcW w:w="9239" w:type="dxa"/>
            <w:gridSpan w:val="5"/>
            <w:vAlign w:val="center"/>
          </w:tcPr>
          <w:p w:rsidR="00E31038" w:rsidRP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b/>
                <w:sz w:val="24"/>
                <w:szCs w:val="24"/>
                <w:lang w:eastAsia="th-TH" w:bidi="th-TH"/>
              </w:rPr>
            </w:pPr>
            <w:r w:rsidRPr="00E31038">
              <w:rPr>
                <w:rFonts w:ascii="Times New Roman" w:eastAsia="Times New Roman" w:hAnsi="Times New Roman" w:cs="Angsana New"/>
                <w:b/>
                <w:sz w:val="24"/>
                <w:szCs w:val="24"/>
                <w:lang w:eastAsia="th-TH" w:bidi="th-TH"/>
              </w:rPr>
              <w:t>Показники продукту Програми</w:t>
            </w:r>
          </w:p>
        </w:tc>
      </w:tr>
      <w:tr w:rsidR="00E31038" w:rsidTr="00E77EDD">
        <w:trPr>
          <w:trHeight w:val="284"/>
        </w:trPr>
        <w:tc>
          <w:tcPr>
            <w:tcW w:w="543" w:type="dxa"/>
          </w:tcPr>
          <w:p w:rsid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  <w:t>1</w:t>
            </w:r>
          </w:p>
        </w:tc>
        <w:tc>
          <w:tcPr>
            <w:tcW w:w="2151" w:type="dxa"/>
            <w:vAlign w:val="center"/>
          </w:tcPr>
          <w:p w:rsidR="00E31038" w:rsidRPr="009F49A1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Кількість виготовлених еритроцитів для переливання</w:t>
            </w:r>
          </w:p>
        </w:tc>
        <w:tc>
          <w:tcPr>
            <w:tcW w:w="992" w:type="dxa"/>
          </w:tcPr>
          <w:p w:rsid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  <w:t>л</w:t>
            </w:r>
          </w:p>
        </w:tc>
        <w:tc>
          <w:tcPr>
            <w:tcW w:w="1276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2200,0</w:t>
            </w:r>
          </w:p>
        </w:tc>
        <w:tc>
          <w:tcPr>
            <w:tcW w:w="2126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2300</w:t>
            </w:r>
          </w:p>
        </w:tc>
        <w:tc>
          <w:tcPr>
            <w:tcW w:w="2694" w:type="dxa"/>
            <w:vAlign w:val="center"/>
          </w:tcPr>
          <w:p w:rsidR="00E31038" w:rsidRPr="004D1783" w:rsidRDefault="00E31038" w:rsidP="00E31038">
            <w:pPr>
              <w:suppressAutoHyphens/>
              <w:rPr>
                <w:rFonts w:ascii="Times New Roman" w:eastAsia="Times New Roman" w:hAnsi="Times New Roman" w:cs="Angsana New"/>
                <w:b/>
                <w:sz w:val="28"/>
                <w:szCs w:val="28"/>
                <w:lang w:eastAsia="th-TH" w:bidi="th-TH"/>
              </w:rPr>
            </w:pPr>
            <w:r w:rsidRPr="00695319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 xml:space="preserve">Наказ МОЗ від 06.08. 2007 №459 звіт центру служби крові ф. 39-здоров </w:t>
            </w:r>
          </w:p>
        </w:tc>
      </w:tr>
      <w:tr w:rsidR="00967414" w:rsidTr="00E77EDD">
        <w:trPr>
          <w:trHeight w:val="284"/>
        </w:trPr>
        <w:tc>
          <w:tcPr>
            <w:tcW w:w="543" w:type="dxa"/>
          </w:tcPr>
          <w:p w:rsid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  <w:t>2</w:t>
            </w:r>
          </w:p>
        </w:tc>
        <w:tc>
          <w:tcPr>
            <w:tcW w:w="2151" w:type="dxa"/>
            <w:vAlign w:val="center"/>
          </w:tcPr>
          <w:p w:rsidR="00E31038" w:rsidRPr="009F49A1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Кількість виготовленої плазми для переливання</w:t>
            </w:r>
          </w:p>
        </w:tc>
        <w:tc>
          <w:tcPr>
            <w:tcW w:w="992" w:type="dxa"/>
          </w:tcPr>
          <w:p w:rsid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  <w:t>л</w:t>
            </w:r>
          </w:p>
        </w:tc>
        <w:tc>
          <w:tcPr>
            <w:tcW w:w="1276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2000,0</w:t>
            </w:r>
          </w:p>
        </w:tc>
        <w:tc>
          <w:tcPr>
            <w:tcW w:w="2126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2000</w:t>
            </w:r>
          </w:p>
        </w:tc>
        <w:tc>
          <w:tcPr>
            <w:tcW w:w="2694" w:type="dxa"/>
            <w:vAlign w:val="center"/>
          </w:tcPr>
          <w:p w:rsidR="00E31038" w:rsidRPr="004D1783" w:rsidRDefault="00E31038" w:rsidP="00E31038">
            <w:pPr>
              <w:suppressAutoHyphens/>
              <w:rPr>
                <w:rFonts w:ascii="Times New Roman" w:eastAsia="Times New Roman" w:hAnsi="Times New Roman" w:cs="Angsana New"/>
                <w:b/>
                <w:sz w:val="28"/>
                <w:szCs w:val="28"/>
                <w:lang w:eastAsia="th-TH" w:bidi="th-TH"/>
              </w:rPr>
            </w:pPr>
            <w:r w:rsidRPr="00695319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 xml:space="preserve">Наказ МОЗ від 06.08. 2007 №459 звіт центру служби крові ф. 39-здоров </w:t>
            </w:r>
          </w:p>
        </w:tc>
      </w:tr>
      <w:tr w:rsidR="00967414" w:rsidTr="00E77EDD">
        <w:trPr>
          <w:trHeight w:val="284"/>
        </w:trPr>
        <w:tc>
          <w:tcPr>
            <w:tcW w:w="543" w:type="dxa"/>
          </w:tcPr>
          <w:p w:rsid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  <w:t>3</w:t>
            </w:r>
          </w:p>
        </w:tc>
        <w:tc>
          <w:tcPr>
            <w:tcW w:w="2151" w:type="dxa"/>
            <w:vAlign w:val="center"/>
          </w:tcPr>
          <w:p w:rsidR="00E31038" w:rsidRPr="009F49A1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Кількість виготовлених тромбоцитів</w:t>
            </w:r>
          </w:p>
        </w:tc>
        <w:tc>
          <w:tcPr>
            <w:tcW w:w="992" w:type="dxa"/>
          </w:tcPr>
          <w:p w:rsid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  <w:t>доз</w:t>
            </w:r>
          </w:p>
        </w:tc>
        <w:tc>
          <w:tcPr>
            <w:tcW w:w="1276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1000</w:t>
            </w:r>
          </w:p>
        </w:tc>
        <w:tc>
          <w:tcPr>
            <w:tcW w:w="2126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1100</w:t>
            </w:r>
          </w:p>
        </w:tc>
        <w:tc>
          <w:tcPr>
            <w:tcW w:w="2694" w:type="dxa"/>
            <w:vAlign w:val="center"/>
          </w:tcPr>
          <w:p w:rsidR="00E31038" w:rsidRPr="004D1783" w:rsidRDefault="00E31038" w:rsidP="00E31038">
            <w:pPr>
              <w:suppressAutoHyphens/>
              <w:rPr>
                <w:rFonts w:ascii="Times New Roman" w:eastAsia="Times New Roman" w:hAnsi="Times New Roman" w:cs="Angsana New"/>
                <w:b/>
                <w:sz w:val="28"/>
                <w:szCs w:val="28"/>
                <w:lang w:eastAsia="th-TH" w:bidi="th-TH"/>
              </w:rPr>
            </w:pPr>
            <w:r w:rsidRPr="00695319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 xml:space="preserve">Наказ МОЗ від 06.08. 2007 №459 звіт центру служби крові ф. 39-здоров </w:t>
            </w:r>
          </w:p>
        </w:tc>
      </w:tr>
      <w:tr w:rsidR="00E31038" w:rsidRPr="00E31038" w:rsidTr="00E77EDD">
        <w:trPr>
          <w:trHeight w:val="284"/>
        </w:trPr>
        <w:tc>
          <w:tcPr>
            <w:tcW w:w="543" w:type="dxa"/>
          </w:tcPr>
          <w:p w:rsidR="00E31038" w:rsidRP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b/>
                <w:sz w:val="28"/>
                <w:szCs w:val="28"/>
                <w:lang w:eastAsia="th-TH" w:bidi="th-TH"/>
              </w:rPr>
            </w:pPr>
            <w:r w:rsidRPr="00E31038">
              <w:rPr>
                <w:rFonts w:ascii="Times New Roman" w:eastAsia="Times New Roman" w:hAnsi="Times New Roman" w:cs="Angsana New"/>
                <w:b/>
                <w:sz w:val="28"/>
                <w:szCs w:val="28"/>
                <w:lang w:eastAsia="th-TH" w:bidi="th-TH"/>
              </w:rPr>
              <w:t>ІІ</w:t>
            </w:r>
          </w:p>
        </w:tc>
        <w:tc>
          <w:tcPr>
            <w:tcW w:w="9239" w:type="dxa"/>
            <w:gridSpan w:val="5"/>
          </w:tcPr>
          <w:p w:rsidR="00E31038" w:rsidRP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b/>
                <w:sz w:val="28"/>
                <w:szCs w:val="28"/>
                <w:lang w:eastAsia="th-TH" w:bidi="th-TH"/>
              </w:rPr>
            </w:pPr>
            <w:r w:rsidRPr="00E31038">
              <w:rPr>
                <w:rFonts w:ascii="Times New Roman" w:eastAsia="Times New Roman" w:hAnsi="Times New Roman" w:cs="Angsana New"/>
                <w:b/>
                <w:sz w:val="24"/>
                <w:szCs w:val="24"/>
                <w:lang w:eastAsia="th-TH" w:bidi="th-TH"/>
              </w:rPr>
              <w:t>Показники ефективності Програми</w:t>
            </w:r>
          </w:p>
        </w:tc>
      </w:tr>
      <w:tr w:rsidR="00967414" w:rsidTr="00E77EDD">
        <w:trPr>
          <w:trHeight w:val="284"/>
        </w:trPr>
        <w:tc>
          <w:tcPr>
            <w:tcW w:w="543" w:type="dxa"/>
          </w:tcPr>
          <w:p w:rsid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  <w:t>1</w:t>
            </w:r>
          </w:p>
        </w:tc>
        <w:tc>
          <w:tcPr>
            <w:tcW w:w="2151" w:type="dxa"/>
          </w:tcPr>
          <w:p w:rsidR="00E31038" w:rsidRPr="009F49A1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Рівень забезпечення річних замовлень лікарень: еритроцитами</w:t>
            </w:r>
          </w:p>
          <w:p w:rsidR="00E31038" w:rsidRPr="009F49A1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плазмою</w:t>
            </w:r>
          </w:p>
          <w:p w:rsidR="00E31038" w:rsidRPr="009F49A1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тромбоцитами</w:t>
            </w:r>
          </w:p>
        </w:tc>
        <w:tc>
          <w:tcPr>
            <w:tcW w:w="992" w:type="dxa"/>
          </w:tcPr>
          <w:p w:rsid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  <w:t>%</w:t>
            </w:r>
          </w:p>
        </w:tc>
        <w:tc>
          <w:tcPr>
            <w:tcW w:w="1276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</w:p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92,4</w:t>
            </w:r>
          </w:p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100,0</w:t>
            </w:r>
          </w:p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65,8</w:t>
            </w:r>
          </w:p>
        </w:tc>
        <w:tc>
          <w:tcPr>
            <w:tcW w:w="2126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</w:p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95,0</w:t>
            </w:r>
          </w:p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100,0</w:t>
            </w:r>
          </w:p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76,0</w:t>
            </w:r>
          </w:p>
        </w:tc>
        <w:tc>
          <w:tcPr>
            <w:tcW w:w="2694" w:type="dxa"/>
            <w:vAlign w:val="center"/>
          </w:tcPr>
          <w:p w:rsidR="00E31038" w:rsidRPr="004D1783" w:rsidRDefault="00E31038" w:rsidP="00E31038">
            <w:pPr>
              <w:suppressAutoHyphens/>
              <w:rPr>
                <w:rFonts w:ascii="Times New Roman" w:eastAsia="Times New Roman" w:hAnsi="Times New Roman" w:cs="Angsana New"/>
                <w:b/>
                <w:sz w:val="28"/>
                <w:szCs w:val="28"/>
                <w:lang w:eastAsia="th-TH" w:bidi="th-TH"/>
              </w:rPr>
            </w:pPr>
            <w:r w:rsidRPr="00695319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 xml:space="preserve">Наказ МОЗ від 06.08. 2007 №459 звіт центру служби крові ф. 39-здоров </w:t>
            </w:r>
          </w:p>
        </w:tc>
      </w:tr>
      <w:tr w:rsidR="00967414" w:rsidTr="00E77EDD">
        <w:trPr>
          <w:trHeight w:val="284"/>
        </w:trPr>
        <w:tc>
          <w:tcPr>
            <w:tcW w:w="543" w:type="dxa"/>
          </w:tcPr>
          <w:p w:rsid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  <w:t>2</w:t>
            </w:r>
          </w:p>
        </w:tc>
        <w:tc>
          <w:tcPr>
            <w:tcW w:w="2151" w:type="dxa"/>
          </w:tcPr>
          <w:p w:rsidR="00E31038" w:rsidRPr="009F49A1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 xml:space="preserve">Рівень забезпечення обладнанням для виготовлення компонентів крові </w:t>
            </w:r>
          </w:p>
        </w:tc>
        <w:tc>
          <w:tcPr>
            <w:tcW w:w="992" w:type="dxa"/>
          </w:tcPr>
          <w:p w:rsid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  <w:t>%</w:t>
            </w:r>
          </w:p>
        </w:tc>
        <w:tc>
          <w:tcPr>
            <w:tcW w:w="1276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10,0</w:t>
            </w:r>
          </w:p>
        </w:tc>
        <w:tc>
          <w:tcPr>
            <w:tcW w:w="2126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20,0</w:t>
            </w:r>
          </w:p>
        </w:tc>
        <w:tc>
          <w:tcPr>
            <w:tcW w:w="2694" w:type="dxa"/>
            <w:vAlign w:val="center"/>
          </w:tcPr>
          <w:p w:rsidR="00E31038" w:rsidRPr="004D1783" w:rsidRDefault="00E31038" w:rsidP="00E31038">
            <w:pPr>
              <w:suppressAutoHyphens/>
              <w:rPr>
                <w:rFonts w:ascii="Times New Roman" w:eastAsia="Times New Roman" w:hAnsi="Times New Roman" w:cs="Angsana New"/>
                <w:b/>
                <w:sz w:val="28"/>
                <w:szCs w:val="28"/>
                <w:lang w:eastAsia="th-TH" w:bidi="th-TH"/>
              </w:rPr>
            </w:pPr>
            <w:r w:rsidRPr="00695319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 xml:space="preserve">Наказ МОЗ від 06.08. 2007 №459 звіт центру служби крові ф. 39-здоров </w:t>
            </w:r>
          </w:p>
        </w:tc>
      </w:tr>
      <w:tr w:rsidR="00E31038" w:rsidRPr="00E31038" w:rsidTr="00E77EDD">
        <w:trPr>
          <w:trHeight w:val="284"/>
        </w:trPr>
        <w:tc>
          <w:tcPr>
            <w:tcW w:w="543" w:type="dxa"/>
          </w:tcPr>
          <w:p w:rsidR="00E31038" w:rsidRP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b/>
                <w:sz w:val="28"/>
                <w:szCs w:val="28"/>
                <w:lang w:eastAsia="th-TH" w:bidi="th-TH"/>
              </w:rPr>
            </w:pPr>
            <w:r w:rsidRPr="00E31038">
              <w:rPr>
                <w:rFonts w:ascii="Times New Roman" w:eastAsia="Times New Roman" w:hAnsi="Times New Roman" w:cs="Angsana New"/>
                <w:b/>
                <w:sz w:val="28"/>
                <w:szCs w:val="28"/>
                <w:lang w:eastAsia="th-TH" w:bidi="th-TH"/>
              </w:rPr>
              <w:t>ІІІ</w:t>
            </w:r>
          </w:p>
        </w:tc>
        <w:tc>
          <w:tcPr>
            <w:tcW w:w="9239" w:type="dxa"/>
            <w:gridSpan w:val="5"/>
            <w:vAlign w:val="center"/>
          </w:tcPr>
          <w:p w:rsidR="00E31038" w:rsidRP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b/>
                <w:sz w:val="28"/>
                <w:szCs w:val="28"/>
                <w:lang w:eastAsia="th-TH" w:bidi="th-TH"/>
              </w:rPr>
            </w:pPr>
            <w:r w:rsidRPr="00E31038">
              <w:rPr>
                <w:rFonts w:ascii="Times New Roman" w:eastAsia="Times New Roman" w:hAnsi="Times New Roman" w:cs="Angsana New"/>
                <w:b/>
                <w:sz w:val="24"/>
                <w:szCs w:val="24"/>
                <w:lang w:eastAsia="th-TH" w:bidi="th-TH"/>
              </w:rPr>
              <w:t>Показники якості Програми</w:t>
            </w:r>
          </w:p>
        </w:tc>
      </w:tr>
      <w:tr w:rsidR="00967414" w:rsidTr="00E77EDD">
        <w:trPr>
          <w:trHeight w:val="284"/>
        </w:trPr>
        <w:tc>
          <w:tcPr>
            <w:tcW w:w="543" w:type="dxa"/>
          </w:tcPr>
          <w:p w:rsid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  <w:t>1</w:t>
            </w:r>
          </w:p>
        </w:tc>
        <w:tc>
          <w:tcPr>
            <w:tcW w:w="2151" w:type="dxa"/>
          </w:tcPr>
          <w:p w:rsidR="00E31038" w:rsidRPr="009F49A1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Відповідність досліджених доз крові та її компонентів параметрам якості</w:t>
            </w:r>
          </w:p>
        </w:tc>
        <w:tc>
          <w:tcPr>
            <w:tcW w:w="992" w:type="dxa"/>
          </w:tcPr>
          <w:p w:rsid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  <w:t xml:space="preserve">% від контрольованих доз </w:t>
            </w:r>
          </w:p>
        </w:tc>
        <w:tc>
          <w:tcPr>
            <w:tcW w:w="1276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Не менше 90,0; для тромбоцитів не менше 75,0</w:t>
            </w:r>
          </w:p>
        </w:tc>
        <w:tc>
          <w:tcPr>
            <w:tcW w:w="2126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Не менше 90,0; для тромбоцитів не менше 75,0</w:t>
            </w:r>
          </w:p>
        </w:tc>
        <w:tc>
          <w:tcPr>
            <w:tcW w:w="2694" w:type="dxa"/>
            <w:vAlign w:val="center"/>
          </w:tcPr>
          <w:p w:rsidR="00E31038" w:rsidRPr="004D1783" w:rsidRDefault="00E31038" w:rsidP="00E31038">
            <w:pPr>
              <w:suppressAutoHyphens/>
              <w:rPr>
                <w:rFonts w:ascii="Times New Roman" w:eastAsia="Times New Roman" w:hAnsi="Times New Roman" w:cs="Angsana New"/>
                <w:b/>
                <w:sz w:val="28"/>
                <w:szCs w:val="28"/>
                <w:lang w:eastAsia="th-TH" w:bidi="th-TH"/>
              </w:rPr>
            </w:pPr>
            <w:r w:rsidRPr="00695319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 xml:space="preserve">Наказ МОЗ від 06.08. 2007 №459 звіт центру служби крові ф. 39-здоров </w:t>
            </w:r>
          </w:p>
        </w:tc>
      </w:tr>
      <w:tr w:rsidR="00967414" w:rsidTr="00E77EDD">
        <w:trPr>
          <w:trHeight w:val="284"/>
        </w:trPr>
        <w:tc>
          <w:tcPr>
            <w:tcW w:w="543" w:type="dxa"/>
          </w:tcPr>
          <w:p w:rsid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  <w:t>2</w:t>
            </w:r>
          </w:p>
        </w:tc>
        <w:tc>
          <w:tcPr>
            <w:tcW w:w="2151" w:type="dxa"/>
          </w:tcPr>
          <w:p w:rsidR="00E31038" w:rsidRPr="009F49A1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Рівень донорства</w:t>
            </w:r>
          </w:p>
        </w:tc>
        <w:tc>
          <w:tcPr>
            <w:tcW w:w="992" w:type="dxa"/>
          </w:tcPr>
          <w:p w:rsid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Кількість донацій на 1000 населення</w:t>
            </w:r>
          </w:p>
        </w:tc>
        <w:tc>
          <w:tcPr>
            <w:tcW w:w="1276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8,1</w:t>
            </w:r>
          </w:p>
        </w:tc>
        <w:tc>
          <w:tcPr>
            <w:tcW w:w="2126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12,0</w:t>
            </w:r>
          </w:p>
        </w:tc>
        <w:tc>
          <w:tcPr>
            <w:tcW w:w="2694" w:type="dxa"/>
            <w:vAlign w:val="center"/>
          </w:tcPr>
          <w:p w:rsidR="00E31038" w:rsidRPr="004D1783" w:rsidRDefault="00E31038" w:rsidP="00E31038">
            <w:pPr>
              <w:suppressAutoHyphens/>
              <w:rPr>
                <w:rFonts w:ascii="Times New Roman" w:eastAsia="Times New Roman" w:hAnsi="Times New Roman" w:cs="Angsana New"/>
                <w:b/>
                <w:sz w:val="28"/>
                <w:szCs w:val="28"/>
                <w:lang w:eastAsia="th-TH" w:bidi="th-TH"/>
              </w:rPr>
            </w:pPr>
            <w:r w:rsidRPr="00695319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 xml:space="preserve">Наказ МОЗ від 06.08. 2007 №459 звіт центру служби крові ф. 39-здоров </w:t>
            </w:r>
          </w:p>
        </w:tc>
      </w:tr>
      <w:tr w:rsidR="00967414" w:rsidTr="00E77EDD">
        <w:trPr>
          <w:trHeight w:val="284"/>
        </w:trPr>
        <w:tc>
          <w:tcPr>
            <w:tcW w:w="543" w:type="dxa"/>
          </w:tcPr>
          <w:p w:rsid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  <w:lastRenderedPageBreak/>
              <w:t>3</w:t>
            </w:r>
          </w:p>
        </w:tc>
        <w:tc>
          <w:tcPr>
            <w:tcW w:w="2151" w:type="dxa"/>
          </w:tcPr>
          <w:p w:rsidR="00E31038" w:rsidRPr="009F49A1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 xml:space="preserve">Рівень забезпечення еритроцитами </w:t>
            </w:r>
          </w:p>
        </w:tc>
        <w:tc>
          <w:tcPr>
            <w:tcW w:w="992" w:type="dxa"/>
          </w:tcPr>
          <w:p w:rsid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  <w:t>%</w:t>
            </w:r>
          </w:p>
        </w:tc>
        <w:tc>
          <w:tcPr>
            <w:tcW w:w="1276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92,4</w:t>
            </w:r>
          </w:p>
        </w:tc>
        <w:tc>
          <w:tcPr>
            <w:tcW w:w="2126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95,0</w:t>
            </w:r>
          </w:p>
        </w:tc>
        <w:tc>
          <w:tcPr>
            <w:tcW w:w="2694" w:type="dxa"/>
            <w:vAlign w:val="center"/>
          </w:tcPr>
          <w:p w:rsidR="00E31038" w:rsidRPr="004D1783" w:rsidRDefault="00E31038" w:rsidP="00E31038">
            <w:pPr>
              <w:suppressAutoHyphens/>
              <w:rPr>
                <w:rFonts w:ascii="Times New Roman" w:eastAsia="Times New Roman" w:hAnsi="Times New Roman" w:cs="Angsana New"/>
                <w:b/>
                <w:sz w:val="28"/>
                <w:szCs w:val="28"/>
                <w:lang w:eastAsia="th-TH" w:bidi="th-TH"/>
              </w:rPr>
            </w:pPr>
            <w:r w:rsidRPr="00695319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 xml:space="preserve">Наказ МОЗ від 06.08. 2007 №459 звіт центру служби крові ф. 39-здоров </w:t>
            </w:r>
          </w:p>
        </w:tc>
      </w:tr>
      <w:tr w:rsidR="00967414" w:rsidTr="00E77EDD">
        <w:trPr>
          <w:trHeight w:val="284"/>
        </w:trPr>
        <w:tc>
          <w:tcPr>
            <w:tcW w:w="543" w:type="dxa"/>
          </w:tcPr>
          <w:p w:rsid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  <w:t>4</w:t>
            </w:r>
          </w:p>
        </w:tc>
        <w:tc>
          <w:tcPr>
            <w:tcW w:w="2151" w:type="dxa"/>
          </w:tcPr>
          <w:p w:rsidR="00E31038" w:rsidRPr="009F49A1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Рівень забезпечення концентратом тромбоцитів</w:t>
            </w:r>
          </w:p>
        </w:tc>
        <w:tc>
          <w:tcPr>
            <w:tcW w:w="992" w:type="dxa"/>
          </w:tcPr>
          <w:p w:rsidR="00E31038" w:rsidRDefault="00E31038" w:rsidP="00E31038">
            <w:pPr>
              <w:suppressAutoHyphens/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8"/>
                <w:szCs w:val="28"/>
                <w:lang w:eastAsia="th-TH" w:bidi="th-TH"/>
              </w:rPr>
              <w:t>%</w:t>
            </w:r>
          </w:p>
        </w:tc>
        <w:tc>
          <w:tcPr>
            <w:tcW w:w="1276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65,8</w:t>
            </w:r>
          </w:p>
        </w:tc>
        <w:tc>
          <w:tcPr>
            <w:tcW w:w="2126" w:type="dxa"/>
            <w:vAlign w:val="center"/>
          </w:tcPr>
          <w:p w:rsidR="00E31038" w:rsidRPr="009F49A1" w:rsidRDefault="00E31038" w:rsidP="00E31038">
            <w:pPr>
              <w:suppressAutoHyphens/>
              <w:jc w:val="center"/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</w:pPr>
            <w:r w:rsidRPr="009F49A1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>70,0</w:t>
            </w:r>
          </w:p>
        </w:tc>
        <w:tc>
          <w:tcPr>
            <w:tcW w:w="2694" w:type="dxa"/>
            <w:vAlign w:val="center"/>
          </w:tcPr>
          <w:p w:rsidR="00E31038" w:rsidRPr="004D1783" w:rsidRDefault="00E31038" w:rsidP="00E31038">
            <w:pPr>
              <w:suppressAutoHyphens/>
              <w:rPr>
                <w:rFonts w:ascii="Times New Roman" w:eastAsia="Times New Roman" w:hAnsi="Times New Roman" w:cs="Angsana New"/>
                <w:b/>
                <w:sz w:val="28"/>
                <w:szCs w:val="28"/>
                <w:lang w:eastAsia="th-TH" w:bidi="th-TH"/>
              </w:rPr>
            </w:pPr>
            <w:r w:rsidRPr="00695319">
              <w:rPr>
                <w:rFonts w:ascii="Times New Roman" w:eastAsia="Times New Roman" w:hAnsi="Times New Roman" w:cs="Angsana New"/>
                <w:sz w:val="24"/>
                <w:szCs w:val="24"/>
                <w:lang w:eastAsia="th-TH" w:bidi="th-TH"/>
              </w:rPr>
              <w:t xml:space="preserve">Наказ МОЗ від 06.08. 2007 №459 звіт центру служби крові ф. 39-здоров </w:t>
            </w:r>
          </w:p>
        </w:tc>
      </w:tr>
    </w:tbl>
    <w:p w:rsidR="00E31038" w:rsidRPr="00D97F26" w:rsidRDefault="00E31038" w:rsidP="00D97F26">
      <w:pPr>
        <w:suppressAutoHyphens/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sectPr w:rsidR="00E31038" w:rsidRPr="00D97F26" w:rsidSect="00E54265">
          <w:headerReference w:type="default" r:id="rId8"/>
          <w:footerReference w:type="even" r:id="rId9"/>
          <w:footerReference w:type="default" r:id="rId10"/>
          <w:pgSz w:w="11906" w:h="16838"/>
          <w:pgMar w:top="1134" w:right="849" w:bottom="1134" w:left="1701" w:header="709" w:footer="709" w:gutter="0"/>
          <w:pgNumType w:start="1"/>
          <w:cols w:space="708"/>
          <w:docGrid w:linePitch="360"/>
        </w:sectPr>
      </w:pPr>
    </w:p>
    <w:p w:rsidR="00D97F26" w:rsidRPr="00D97F26" w:rsidRDefault="00D97F26" w:rsidP="00927E16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b/>
          <w:sz w:val="28"/>
          <w:szCs w:val="28"/>
          <w:u w:val="single"/>
          <w:lang w:eastAsia="th-TH" w:bidi="th-TH"/>
        </w:rPr>
      </w:pPr>
      <w:r w:rsidRPr="00D97F26"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  <w:lastRenderedPageBreak/>
        <w:t xml:space="preserve">Заходи щодо реалізації Програми </w:t>
      </w:r>
      <w:r w:rsidRPr="00D97F26">
        <w:rPr>
          <w:rFonts w:ascii="Times New Roman" w:eastAsia="Times New Roman" w:hAnsi="Times New Roman" w:cs="Angsana New"/>
          <w:b/>
          <w:sz w:val="28"/>
          <w:szCs w:val="28"/>
          <w:u w:val="single"/>
          <w:lang w:eastAsia="th-TH" w:bidi="th-TH"/>
        </w:rPr>
        <w:t>розвитку та фінансової підтримки в КНП «Обласний центр крові» на 2020 рік</w:t>
      </w:r>
    </w:p>
    <w:p w:rsidR="00D97F26" w:rsidRPr="00D97F26" w:rsidRDefault="00D97F26" w:rsidP="009653A5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назва Програми</w: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922"/>
        <w:gridCol w:w="3692"/>
        <w:gridCol w:w="1327"/>
        <w:gridCol w:w="1276"/>
        <w:gridCol w:w="2358"/>
        <w:gridCol w:w="2410"/>
        <w:gridCol w:w="1701"/>
      </w:tblGrid>
      <w:tr w:rsidR="002B1050" w:rsidRPr="00F520D2" w:rsidTr="000D1A6B">
        <w:trPr>
          <w:trHeight w:val="1939"/>
        </w:trPr>
        <w:tc>
          <w:tcPr>
            <w:tcW w:w="624" w:type="dxa"/>
            <w:vAlign w:val="center"/>
          </w:tcPr>
          <w:p w:rsidR="002B1050" w:rsidRPr="00F520D2" w:rsidRDefault="002B1050" w:rsidP="002B10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  <w:t>№</w:t>
            </w:r>
          </w:p>
          <w:p w:rsidR="002B1050" w:rsidRPr="00F520D2" w:rsidRDefault="002B1050" w:rsidP="002B10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  <w:t>з/п</w:t>
            </w:r>
          </w:p>
        </w:tc>
        <w:tc>
          <w:tcPr>
            <w:tcW w:w="1922" w:type="dxa"/>
            <w:vAlign w:val="center"/>
          </w:tcPr>
          <w:p w:rsidR="002B1050" w:rsidRPr="00F520D2" w:rsidRDefault="002B1050" w:rsidP="002B10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  <w:t>Найменування</w:t>
            </w:r>
          </w:p>
          <w:p w:rsidR="002B1050" w:rsidRPr="00F520D2" w:rsidRDefault="002B1050" w:rsidP="002B10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  <w:t>завдання</w:t>
            </w:r>
          </w:p>
        </w:tc>
        <w:tc>
          <w:tcPr>
            <w:tcW w:w="3692" w:type="dxa"/>
            <w:vAlign w:val="center"/>
          </w:tcPr>
          <w:p w:rsidR="002B1050" w:rsidRPr="00F520D2" w:rsidRDefault="002B1050" w:rsidP="002B10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  <w:t>Найменування заходу</w:t>
            </w:r>
          </w:p>
        </w:tc>
        <w:tc>
          <w:tcPr>
            <w:tcW w:w="1327" w:type="dxa"/>
            <w:vAlign w:val="center"/>
          </w:tcPr>
          <w:p w:rsidR="002B1050" w:rsidRPr="00F520D2" w:rsidRDefault="002B1050" w:rsidP="002B10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  <w:t>Термін виконання заходу</w:t>
            </w:r>
          </w:p>
        </w:tc>
        <w:tc>
          <w:tcPr>
            <w:tcW w:w="1276" w:type="dxa"/>
            <w:vAlign w:val="center"/>
          </w:tcPr>
          <w:p w:rsidR="002B1050" w:rsidRPr="00F520D2" w:rsidRDefault="002B1050" w:rsidP="002B10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  <w:t>Головні виконавці,</w:t>
            </w:r>
          </w:p>
          <w:p w:rsidR="002B1050" w:rsidRPr="00F520D2" w:rsidRDefault="002B1050" w:rsidP="002B10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  <w:t>розпорядники коштів</w:t>
            </w:r>
          </w:p>
        </w:tc>
        <w:tc>
          <w:tcPr>
            <w:tcW w:w="2358" w:type="dxa"/>
            <w:vAlign w:val="center"/>
          </w:tcPr>
          <w:p w:rsidR="002B1050" w:rsidRPr="00F520D2" w:rsidRDefault="002B1050" w:rsidP="002B10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  <w:t>Джерела фінансування</w:t>
            </w:r>
          </w:p>
        </w:tc>
        <w:tc>
          <w:tcPr>
            <w:tcW w:w="2410" w:type="dxa"/>
            <w:vAlign w:val="center"/>
          </w:tcPr>
          <w:p w:rsidR="002B1050" w:rsidRPr="00F520D2" w:rsidRDefault="002B1050" w:rsidP="002B10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  <w:t>Орієнтовні обсяги  фінансування</w:t>
            </w:r>
          </w:p>
        </w:tc>
        <w:tc>
          <w:tcPr>
            <w:tcW w:w="1701" w:type="dxa"/>
            <w:vAlign w:val="center"/>
          </w:tcPr>
          <w:p w:rsidR="002B1050" w:rsidRPr="00F520D2" w:rsidRDefault="002B1050" w:rsidP="002B10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b/>
                <w:sz w:val="24"/>
                <w:szCs w:val="28"/>
                <w:lang w:eastAsia="th-TH" w:bidi="th-TH"/>
              </w:rPr>
              <w:t>Очікуваний результат</w:t>
            </w:r>
          </w:p>
        </w:tc>
      </w:tr>
      <w:tr w:rsidR="00D97F26" w:rsidRPr="009653A5" w:rsidTr="000D1A6B">
        <w:trPr>
          <w:trHeight w:val="197"/>
        </w:trPr>
        <w:tc>
          <w:tcPr>
            <w:tcW w:w="624" w:type="dxa"/>
          </w:tcPr>
          <w:p w:rsidR="00D97F26" w:rsidRPr="009653A5" w:rsidRDefault="00D97F26" w:rsidP="0069531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0"/>
                <w:szCs w:val="28"/>
                <w:lang w:eastAsia="th-TH" w:bidi="th-TH"/>
              </w:rPr>
            </w:pPr>
          </w:p>
        </w:tc>
        <w:tc>
          <w:tcPr>
            <w:tcW w:w="1922" w:type="dxa"/>
          </w:tcPr>
          <w:p w:rsidR="00D97F26" w:rsidRPr="009653A5" w:rsidRDefault="00D97F26" w:rsidP="0069531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0"/>
                <w:szCs w:val="28"/>
                <w:lang w:eastAsia="th-TH" w:bidi="th-TH"/>
              </w:rPr>
            </w:pPr>
          </w:p>
        </w:tc>
        <w:tc>
          <w:tcPr>
            <w:tcW w:w="3692" w:type="dxa"/>
          </w:tcPr>
          <w:p w:rsidR="00D97F26" w:rsidRPr="009653A5" w:rsidRDefault="00D97F26" w:rsidP="0069531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0"/>
                <w:szCs w:val="28"/>
                <w:lang w:eastAsia="th-TH" w:bidi="th-TH"/>
              </w:rPr>
            </w:pPr>
          </w:p>
        </w:tc>
        <w:tc>
          <w:tcPr>
            <w:tcW w:w="1327" w:type="dxa"/>
          </w:tcPr>
          <w:p w:rsidR="00D97F26" w:rsidRPr="009653A5" w:rsidRDefault="00D97F26" w:rsidP="0069531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0"/>
                <w:szCs w:val="28"/>
                <w:lang w:eastAsia="th-TH" w:bidi="th-TH"/>
              </w:rPr>
            </w:pPr>
          </w:p>
        </w:tc>
        <w:tc>
          <w:tcPr>
            <w:tcW w:w="1276" w:type="dxa"/>
          </w:tcPr>
          <w:p w:rsidR="00D97F26" w:rsidRPr="009653A5" w:rsidRDefault="00D97F26" w:rsidP="0069531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0"/>
                <w:szCs w:val="28"/>
                <w:lang w:eastAsia="th-TH" w:bidi="th-TH"/>
              </w:rPr>
            </w:pPr>
          </w:p>
        </w:tc>
        <w:tc>
          <w:tcPr>
            <w:tcW w:w="2358" w:type="dxa"/>
          </w:tcPr>
          <w:p w:rsidR="00D97F26" w:rsidRPr="009653A5" w:rsidRDefault="00D97F26" w:rsidP="0069531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0"/>
                <w:szCs w:val="28"/>
                <w:lang w:eastAsia="th-TH" w:bidi="th-TH"/>
              </w:rPr>
            </w:pPr>
          </w:p>
        </w:tc>
        <w:tc>
          <w:tcPr>
            <w:tcW w:w="2410" w:type="dxa"/>
          </w:tcPr>
          <w:p w:rsidR="00D97F26" w:rsidRPr="009653A5" w:rsidRDefault="00D97F26" w:rsidP="0069531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0"/>
                <w:szCs w:val="28"/>
                <w:lang w:eastAsia="th-TH" w:bidi="th-TH"/>
              </w:rPr>
            </w:pPr>
          </w:p>
        </w:tc>
        <w:tc>
          <w:tcPr>
            <w:tcW w:w="1701" w:type="dxa"/>
          </w:tcPr>
          <w:p w:rsidR="00D97F26" w:rsidRPr="009653A5" w:rsidRDefault="00D97F26" w:rsidP="00695319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b/>
                <w:sz w:val="20"/>
                <w:szCs w:val="28"/>
                <w:lang w:eastAsia="th-TH" w:bidi="th-TH"/>
              </w:rPr>
            </w:pPr>
          </w:p>
        </w:tc>
      </w:tr>
      <w:tr w:rsidR="00D97F26" w:rsidRPr="00F520D2" w:rsidTr="000D1A6B">
        <w:trPr>
          <w:trHeight w:val="2879"/>
        </w:trPr>
        <w:tc>
          <w:tcPr>
            <w:tcW w:w="624" w:type="dxa"/>
            <w:vMerge w:val="restart"/>
          </w:tcPr>
          <w:p w:rsidR="00D97F26" w:rsidRPr="00F520D2" w:rsidRDefault="00D97F26" w:rsidP="009653A5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1.</w:t>
            </w:r>
          </w:p>
        </w:tc>
        <w:tc>
          <w:tcPr>
            <w:tcW w:w="1922" w:type="dxa"/>
            <w:vMerge w:val="restart"/>
          </w:tcPr>
          <w:p w:rsidR="00D97F26" w:rsidRPr="00F520D2" w:rsidRDefault="00D97F26" w:rsidP="009653A5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Модернізація технологічних процесів заготовлення, зберігання і транспортування донорської крові та її компонентів</w:t>
            </w:r>
          </w:p>
        </w:tc>
        <w:tc>
          <w:tcPr>
            <w:tcW w:w="3692" w:type="dxa"/>
          </w:tcPr>
          <w:p w:rsidR="002B1050" w:rsidRPr="00F520D2" w:rsidRDefault="00D97F26" w:rsidP="002B1050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1.1. З метою забезпечення  гарантії якості компонентів крові пр</w:t>
            </w:r>
            <w:r w:rsidR="00695319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идбання </w:t>
            </w:r>
            <w:r w:rsidR="002B1050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обладнання </w:t>
            </w: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матеріально-технічного оснащен</w:t>
            </w:r>
            <w:r w:rsidR="002B1050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ня  закладів переливання крові»</w:t>
            </w:r>
          </w:p>
          <w:p w:rsidR="00D97F26" w:rsidRPr="00F520D2" w:rsidRDefault="00D97F26" w:rsidP="009653A5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</w:p>
        </w:tc>
        <w:tc>
          <w:tcPr>
            <w:tcW w:w="1327" w:type="dxa"/>
          </w:tcPr>
          <w:p w:rsidR="00D97F26" w:rsidRPr="00F520D2" w:rsidRDefault="00D97F26" w:rsidP="009653A5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2020 рік</w:t>
            </w:r>
          </w:p>
        </w:tc>
        <w:tc>
          <w:tcPr>
            <w:tcW w:w="1276" w:type="dxa"/>
          </w:tcPr>
          <w:p w:rsidR="00D97F26" w:rsidRPr="00F520D2" w:rsidRDefault="00D97F26" w:rsidP="009653A5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УОЗ ОДА</w:t>
            </w:r>
          </w:p>
          <w:p w:rsidR="00D97F26" w:rsidRPr="00F520D2" w:rsidRDefault="00D97F26" w:rsidP="009653A5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Центр крові</w:t>
            </w:r>
          </w:p>
          <w:p w:rsidR="00D97F26" w:rsidRPr="00F520D2" w:rsidRDefault="00D97F26" w:rsidP="00A44546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</w:p>
        </w:tc>
        <w:tc>
          <w:tcPr>
            <w:tcW w:w="2358" w:type="dxa"/>
          </w:tcPr>
          <w:p w:rsidR="00D97F26" w:rsidRPr="00F520D2" w:rsidRDefault="00D97F26" w:rsidP="009653A5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Обласний бюджет</w:t>
            </w:r>
            <w:r w:rsidR="009653A5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, </w:t>
            </w:r>
            <w:r w:rsidR="009653A5" w:rsidRPr="009653A5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районні та міські бюджети, бюджети об’єднаних територіальних громад</w:t>
            </w:r>
          </w:p>
        </w:tc>
        <w:tc>
          <w:tcPr>
            <w:tcW w:w="2410" w:type="dxa"/>
          </w:tcPr>
          <w:p w:rsidR="00D97F26" w:rsidRPr="00F520D2" w:rsidRDefault="00D97F26" w:rsidP="009653A5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У межах </w:t>
            </w:r>
            <w:r w:rsidR="002B1050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фінансових можливостей бюджетів</w:t>
            </w:r>
          </w:p>
        </w:tc>
        <w:tc>
          <w:tcPr>
            <w:tcW w:w="1701" w:type="dxa"/>
          </w:tcPr>
          <w:p w:rsidR="00D97F26" w:rsidRPr="00F520D2" w:rsidRDefault="000D1A6B" w:rsidP="00F01C1A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Забезпечення населення якісними та безпечними компонентами крові</w:t>
            </w:r>
          </w:p>
        </w:tc>
      </w:tr>
      <w:tr w:rsidR="000D1A6B" w:rsidRPr="00F95BD3" w:rsidTr="000D1A6B">
        <w:trPr>
          <w:trHeight w:val="756"/>
        </w:trPr>
        <w:tc>
          <w:tcPr>
            <w:tcW w:w="624" w:type="dxa"/>
            <w:vMerge/>
          </w:tcPr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</w:p>
        </w:tc>
        <w:tc>
          <w:tcPr>
            <w:tcW w:w="1922" w:type="dxa"/>
            <w:vMerge/>
          </w:tcPr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</w:p>
        </w:tc>
        <w:tc>
          <w:tcPr>
            <w:tcW w:w="3692" w:type="dxa"/>
          </w:tcPr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1.2. Придбання спеціалізованого </w:t>
            </w: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транспор</w:t>
            </w: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ту </w:t>
            </w: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для заготовлення донорської крові та її компонентів у виїзних умовах</w:t>
            </w:r>
          </w:p>
        </w:tc>
        <w:tc>
          <w:tcPr>
            <w:tcW w:w="1327" w:type="dxa"/>
          </w:tcPr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2020 рік</w:t>
            </w:r>
          </w:p>
        </w:tc>
        <w:tc>
          <w:tcPr>
            <w:tcW w:w="1276" w:type="dxa"/>
          </w:tcPr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УОЗ ОДА</w:t>
            </w:r>
          </w:p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Центр крові</w:t>
            </w:r>
          </w:p>
        </w:tc>
        <w:tc>
          <w:tcPr>
            <w:tcW w:w="2358" w:type="dxa"/>
          </w:tcPr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Обласний бюджет</w:t>
            </w: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, </w:t>
            </w:r>
            <w:r w:rsidRPr="009653A5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районні та міські бюджети, бюджети об’єднаних територіальних громад</w:t>
            </w:r>
          </w:p>
        </w:tc>
        <w:tc>
          <w:tcPr>
            <w:tcW w:w="2410" w:type="dxa"/>
          </w:tcPr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У межах </w:t>
            </w: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фінансових можливостей бюджетів</w:t>
            </w:r>
          </w:p>
        </w:tc>
        <w:tc>
          <w:tcPr>
            <w:tcW w:w="1701" w:type="dxa"/>
          </w:tcPr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Збільшення </w:t>
            </w:r>
            <w:r w:rsidRPr="00F01C1A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 заготовлення крові в містах і районах області із</w:t>
            </w: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 залученням бригади фахівців обласного центру крові</w:t>
            </w:r>
          </w:p>
        </w:tc>
      </w:tr>
      <w:tr w:rsidR="000D1A6B" w:rsidRPr="00F95BD3" w:rsidTr="000D1A6B">
        <w:tc>
          <w:tcPr>
            <w:tcW w:w="624" w:type="dxa"/>
          </w:tcPr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2.</w:t>
            </w:r>
          </w:p>
        </w:tc>
        <w:tc>
          <w:tcPr>
            <w:tcW w:w="1922" w:type="dxa"/>
          </w:tcPr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Лабораторне обстеження </w:t>
            </w: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lastRenderedPageBreak/>
              <w:t>донорської крові</w:t>
            </w:r>
          </w:p>
        </w:tc>
        <w:tc>
          <w:tcPr>
            <w:tcW w:w="3692" w:type="dxa"/>
          </w:tcPr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lastRenderedPageBreak/>
              <w:t xml:space="preserve">2.1. Придбання </w:t>
            </w:r>
            <w:proofErr w:type="spellStart"/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імуногематологічного</w:t>
            </w:r>
            <w:proofErr w:type="spellEnd"/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 </w:t>
            </w: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lastRenderedPageBreak/>
              <w:t>аналізатор</w:t>
            </w: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а</w:t>
            </w: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 для автоматизації визначення групи крові за системою АВО, </w:t>
            </w:r>
            <w:proofErr w:type="spellStart"/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Rh</w:t>
            </w:r>
            <w:proofErr w:type="spellEnd"/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 та  іншими антигенними системами.</w:t>
            </w:r>
          </w:p>
        </w:tc>
        <w:tc>
          <w:tcPr>
            <w:tcW w:w="1327" w:type="dxa"/>
          </w:tcPr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lastRenderedPageBreak/>
              <w:t>2020 рік</w:t>
            </w:r>
          </w:p>
        </w:tc>
        <w:tc>
          <w:tcPr>
            <w:tcW w:w="1276" w:type="dxa"/>
          </w:tcPr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УОЗ ОДА</w:t>
            </w:r>
          </w:p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Центр </w:t>
            </w: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lastRenderedPageBreak/>
              <w:t>крові</w:t>
            </w:r>
          </w:p>
        </w:tc>
        <w:tc>
          <w:tcPr>
            <w:tcW w:w="2358" w:type="dxa"/>
          </w:tcPr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lastRenderedPageBreak/>
              <w:t>Обласний бюджет</w:t>
            </w: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, </w:t>
            </w:r>
            <w:r w:rsidRPr="009653A5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районні та міські </w:t>
            </w:r>
            <w:r w:rsidRPr="009653A5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lastRenderedPageBreak/>
              <w:t>бюджети, бюджети об’єднаних територіальних громад</w:t>
            </w:r>
          </w:p>
        </w:tc>
        <w:tc>
          <w:tcPr>
            <w:tcW w:w="2410" w:type="dxa"/>
          </w:tcPr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lastRenderedPageBreak/>
              <w:t xml:space="preserve">У межах </w:t>
            </w: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фінансових можливостей </w:t>
            </w: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lastRenderedPageBreak/>
              <w:t>бюджетів</w:t>
            </w:r>
          </w:p>
        </w:tc>
        <w:tc>
          <w:tcPr>
            <w:tcW w:w="1701" w:type="dxa"/>
          </w:tcPr>
          <w:p w:rsidR="000D1A6B" w:rsidRPr="00F520D2" w:rsidRDefault="000D1A6B" w:rsidP="000D1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lastRenderedPageBreak/>
              <w:t xml:space="preserve">Якість і безпека </w:t>
            </w: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lastRenderedPageBreak/>
              <w:t>компонентів донорської крові</w:t>
            </w:r>
          </w:p>
        </w:tc>
      </w:tr>
      <w:tr w:rsidR="000D1A6B" w:rsidRPr="00F95BD3" w:rsidTr="000D1A6B">
        <w:tc>
          <w:tcPr>
            <w:tcW w:w="624" w:type="dxa"/>
            <w:vMerge w:val="restart"/>
          </w:tcPr>
          <w:p w:rsidR="000D1A6B" w:rsidRPr="00F95BD3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95BD3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lastRenderedPageBreak/>
              <w:t>3</w:t>
            </w:r>
          </w:p>
        </w:tc>
        <w:tc>
          <w:tcPr>
            <w:tcW w:w="1922" w:type="dxa"/>
            <w:vMerge w:val="restart"/>
          </w:tcPr>
          <w:p w:rsidR="000D1A6B" w:rsidRPr="00F95BD3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95BD3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Забезпечення матеріально-технічного стану КНП</w:t>
            </w:r>
          </w:p>
        </w:tc>
        <w:tc>
          <w:tcPr>
            <w:tcW w:w="3692" w:type="dxa"/>
          </w:tcPr>
          <w:p w:rsidR="000D1A6B" w:rsidRPr="00F95BD3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3.1. Виконання</w:t>
            </w:r>
            <w:r w:rsidRPr="00F95BD3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 роботи по утепленню зовнішніх стін будівлі головного корпусу обласного центру крові</w:t>
            </w:r>
          </w:p>
        </w:tc>
        <w:tc>
          <w:tcPr>
            <w:tcW w:w="1327" w:type="dxa"/>
          </w:tcPr>
          <w:p w:rsidR="000D1A6B" w:rsidRPr="00F95BD3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95BD3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2020 рік</w:t>
            </w:r>
          </w:p>
        </w:tc>
        <w:tc>
          <w:tcPr>
            <w:tcW w:w="1276" w:type="dxa"/>
          </w:tcPr>
          <w:p w:rsidR="000D1A6B" w:rsidRPr="00F95BD3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95BD3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УОЗ ОДА</w:t>
            </w:r>
          </w:p>
          <w:p w:rsidR="000D1A6B" w:rsidRPr="00F95BD3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95BD3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Центр крові</w:t>
            </w:r>
          </w:p>
        </w:tc>
        <w:tc>
          <w:tcPr>
            <w:tcW w:w="2358" w:type="dxa"/>
          </w:tcPr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Обласний бюджет</w:t>
            </w: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, </w:t>
            </w:r>
            <w:r w:rsidRPr="009653A5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районні та міські бюджети, бюджети об’єднаних територіальних громад</w:t>
            </w:r>
          </w:p>
        </w:tc>
        <w:tc>
          <w:tcPr>
            <w:tcW w:w="2410" w:type="dxa"/>
          </w:tcPr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</w:p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У межах </w:t>
            </w: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фінансових можливостей бюджетів</w:t>
            </w:r>
          </w:p>
        </w:tc>
        <w:tc>
          <w:tcPr>
            <w:tcW w:w="1701" w:type="dxa"/>
          </w:tcPr>
          <w:p w:rsidR="000D1A6B" w:rsidRPr="00F95BD3" w:rsidRDefault="000D1A6B" w:rsidP="000D1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Забезпечення економічної ефективності діяльності центру крові</w:t>
            </w:r>
          </w:p>
        </w:tc>
      </w:tr>
      <w:tr w:rsidR="000D1A6B" w:rsidRPr="00F95BD3" w:rsidTr="000D1A6B">
        <w:tc>
          <w:tcPr>
            <w:tcW w:w="624" w:type="dxa"/>
            <w:vMerge/>
          </w:tcPr>
          <w:p w:rsidR="000D1A6B" w:rsidRPr="00F95BD3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</w:p>
        </w:tc>
        <w:tc>
          <w:tcPr>
            <w:tcW w:w="1922" w:type="dxa"/>
            <w:vMerge/>
          </w:tcPr>
          <w:p w:rsidR="000D1A6B" w:rsidRPr="00F95BD3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</w:p>
        </w:tc>
        <w:tc>
          <w:tcPr>
            <w:tcW w:w="3692" w:type="dxa"/>
          </w:tcPr>
          <w:p w:rsidR="000D1A6B" w:rsidRPr="00F95BD3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95BD3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3.2. Зміна</w:t>
            </w:r>
            <w:r w:rsidR="00F26790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 вікон та ремонт теплової мережі</w:t>
            </w:r>
          </w:p>
        </w:tc>
        <w:tc>
          <w:tcPr>
            <w:tcW w:w="1327" w:type="dxa"/>
          </w:tcPr>
          <w:p w:rsidR="000D1A6B" w:rsidRPr="00F95BD3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95BD3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2020 рік</w:t>
            </w:r>
          </w:p>
        </w:tc>
        <w:tc>
          <w:tcPr>
            <w:tcW w:w="1276" w:type="dxa"/>
          </w:tcPr>
          <w:p w:rsidR="000D1A6B" w:rsidRPr="00F95BD3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95BD3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УОЗ ОДА</w:t>
            </w:r>
          </w:p>
          <w:p w:rsidR="000D1A6B" w:rsidRPr="00F95BD3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95BD3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Центр крові</w:t>
            </w:r>
          </w:p>
        </w:tc>
        <w:tc>
          <w:tcPr>
            <w:tcW w:w="2358" w:type="dxa"/>
          </w:tcPr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Обласний бюджет</w:t>
            </w: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, </w:t>
            </w:r>
            <w:r w:rsidRPr="009653A5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районні та міські бюджети, бюджети об’єднаних територіальних громад</w:t>
            </w:r>
          </w:p>
        </w:tc>
        <w:tc>
          <w:tcPr>
            <w:tcW w:w="2410" w:type="dxa"/>
          </w:tcPr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</w:p>
          <w:p w:rsidR="000D1A6B" w:rsidRPr="00F520D2" w:rsidRDefault="000D1A6B" w:rsidP="000D1A6B">
            <w:pPr>
              <w:suppressAutoHyphens/>
              <w:spacing w:after="0" w:line="240" w:lineRule="auto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 w:rsidRPr="00F520D2"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 xml:space="preserve">У межах </w:t>
            </w: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фінансових можливостей бюджетів</w:t>
            </w:r>
          </w:p>
        </w:tc>
        <w:tc>
          <w:tcPr>
            <w:tcW w:w="1701" w:type="dxa"/>
          </w:tcPr>
          <w:p w:rsidR="000D1A6B" w:rsidRPr="00F95BD3" w:rsidRDefault="000D1A6B" w:rsidP="000D1A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</w:pPr>
            <w:r>
              <w:rPr>
                <w:rFonts w:ascii="Times New Roman" w:eastAsia="Times New Roman" w:hAnsi="Times New Roman" w:cs="Angsana New"/>
                <w:sz w:val="24"/>
                <w:szCs w:val="28"/>
                <w:lang w:eastAsia="th-TH" w:bidi="th-TH"/>
              </w:rPr>
              <w:t>Забезпечення економічної ефективності діяльності центру крові</w:t>
            </w:r>
          </w:p>
        </w:tc>
      </w:tr>
    </w:tbl>
    <w:p w:rsidR="00D97F26" w:rsidRPr="00D97F26" w:rsidRDefault="00D97F26" w:rsidP="00D97F26">
      <w:pPr>
        <w:suppressAutoHyphens/>
        <w:spacing w:after="0" w:line="240" w:lineRule="auto"/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  <w:sectPr w:rsidR="00D97F26" w:rsidRPr="00D97F26" w:rsidSect="008D16B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97F26" w:rsidRPr="00D97F26" w:rsidRDefault="00D97F26" w:rsidP="00927E16">
      <w:pPr>
        <w:suppressAutoHyphens/>
        <w:spacing w:after="0" w:line="240" w:lineRule="auto"/>
        <w:jc w:val="center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b/>
          <w:sz w:val="28"/>
          <w:szCs w:val="28"/>
          <w:lang w:eastAsia="th-TH" w:bidi="th-TH"/>
        </w:rPr>
        <w:lastRenderedPageBreak/>
        <w:t>Розділ 6. Координація та контроль за ходом виконання Програми</w:t>
      </w:r>
    </w:p>
    <w:p w:rsidR="00D97F26" w:rsidRPr="00D97F26" w:rsidRDefault="00D97F26" w:rsidP="00D97F26">
      <w:pPr>
        <w:suppressAutoHyphens/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D97F26" w:rsidRPr="00D97F26" w:rsidRDefault="00D97F26" w:rsidP="00927E1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Координацію дій між учасниками Програми, контроль за виконанням її заходів здійснює Управління охорони здоров’я облдержадміністрації, контроль за цільовим та ефективним використанням коштів – НКП «Обласний центр крові» Житомирської обласної ради.</w:t>
      </w:r>
    </w:p>
    <w:p w:rsidR="00D97F26" w:rsidRPr="00D97F26" w:rsidRDefault="00D97F26" w:rsidP="00D97F26">
      <w:pPr>
        <w:suppressAutoHyphens/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D97F26" w:rsidRPr="00D97F26" w:rsidRDefault="00D97F26" w:rsidP="00D97F26">
      <w:pPr>
        <w:suppressAutoHyphens/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D97F26" w:rsidRPr="00D97F26" w:rsidRDefault="00D97F26" w:rsidP="00D97F26">
      <w:pPr>
        <w:suppressAutoHyphens/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D97F26" w:rsidRPr="00D97F26" w:rsidRDefault="00D97F26" w:rsidP="00D97F26">
      <w:pPr>
        <w:suppressAutoHyphens/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D97F26" w:rsidRPr="00D97F26" w:rsidRDefault="00D97F26" w:rsidP="00D97F26">
      <w:pPr>
        <w:suppressAutoHyphens/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D97F26" w:rsidRPr="00D97F26" w:rsidRDefault="00D97F26" w:rsidP="00D97F26">
      <w:pPr>
        <w:suppressAutoHyphens/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D97F26" w:rsidRPr="00D97F26" w:rsidRDefault="00D97F26" w:rsidP="00D97F26">
      <w:pPr>
        <w:suppressAutoHyphens/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D97F26" w:rsidRPr="00D97F26" w:rsidRDefault="00D97F26" w:rsidP="00D97F26">
      <w:pPr>
        <w:suppressAutoHyphens/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D97F26" w:rsidRPr="00D97F26" w:rsidRDefault="00D97F26" w:rsidP="00D97F26">
      <w:pPr>
        <w:suppressAutoHyphens/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p w:rsidR="00D97F26" w:rsidRPr="00D97F26" w:rsidRDefault="00D97F26" w:rsidP="00D97F26">
      <w:pPr>
        <w:suppressAutoHyphens/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 xml:space="preserve">Перший заступник </w:t>
      </w:r>
    </w:p>
    <w:p w:rsidR="00D97F26" w:rsidRPr="00D97F26" w:rsidRDefault="00D97F26" w:rsidP="00D97F26">
      <w:pPr>
        <w:suppressAutoHyphens/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>голови обласної ради</w:t>
      </w: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ab/>
      </w: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ab/>
      </w: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ab/>
      </w: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ab/>
      </w: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ab/>
      </w: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ab/>
      </w:r>
      <w:r w:rsidRPr="00D97F26">
        <w:rPr>
          <w:rFonts w:ascii="Times New Roman" w:eastAsia="Times New Roman" w:hAnsi="Times New Roman" w:cs="Angsana New"/>
          <w:sz w:val="28"/>
          <w:szCs w:val="28"/>
          <w:lang w:eastAsia="th-TH" w:bidi="th-TH"/>
        </w:rPr>
        <w:tab/>
        <w:t>С.М. Крамаренко</w:t>
      </w:r>
    </w:p>
    <w:p w:rsidR="00D97F26" w:rsidRPr="00E571FE" w:rsidRDefault="00D97F26" w:rsidP="00E571FE">
      <w:pPr>
        <w:suppressAutoHyphens/>
        <w:spacing w:after="0" w:line="240" w:lineRule="auto"/>
        <w:rPr>
          <w:rFonts w:ascii="Times New Roman" w:eastAsia="Times New Roman" w:hAnsi="Times New Roman" w:cs="Angsana New"/>
          <w:sz w:val="28"/>
          <w:szCs w:val="28"/>
          <w:lang w:eastAsia="th-TH" w:bidi="th-TH"/>
        </w:rPr>
      </w:pPr>
    </w:p>
    <w:sectPr w:rsidR="00D97F26" w:rsidRPr="00E571FE" w:rsidSect="00F520D2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1D" w:rsidRDefault="00E4761D" w:rsidP="00E571FE">
      <w:pPr>
        <w:spacing w:after="0" w:line="240" w:lineRule="auto"/>
      </w:pPr>
      <w:r>
        <w:separator/>
      </w:r>
    </w:p>
  </w:endnote>
  <w:endnote w:type="continuationSeparator" w:id="0">
    <w:p w:rsidR="00E4761D" w:rsidRDefault="00E4761D" w:rsidP="00E5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26" w:rsidRDefault="00D97F26" w:rsidP="00D452A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7F26" w:rsidRDefault="00D97F26" w:rsidP="00D8017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F26" w:rsidRDefault="00D97F26" w:rsidP="00D8017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1D" w:rsidRDefault="00E4761D" w:rsidP="00E571FE">
      <w:pPr>
        <w:spacing w:after="0" w:line="240" w:lineRule="auto"/>
      </w:pPr>
      <w:r>
        <w:separator/>
      </w:r>
    </w:p>
  </w:footnote>
  <w:footnote w:type="continuationSeparator" w:id="0">
    <w:p w:rsidR="00E4761D" w:rsidRDefault="00E4761D" w:rsidP="00E5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006334"/>
      <w:docPartObj>
        <w:docPartGallery w:val="Page Numbers (Top of Page)"/>
        <w:docPartUnique/>
      </w:docPartObj>
    </w:sdtPr>
    <w:sdtEndPr/>
    <w:sdtContent>
      <w:p w:rsidR="00E54265" w:rsidRDefault="00E542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5A5" w:rsidRPr="00CA65A5">
          <w:rPr>
            <w:noProof/>
            <w:lang w:val="ru-RU"/>
          </w:rPr>
          <w:t>2</w:t>
        </w:r>
        <w:r>
          <w:fldChar w:fldCharType="end"/>
        </w:r>
      </w:p>
    </w:sdtContent>
  </w:sdt>
  <w:p w:rsidR="00E54265" w:rsidRDefault="00E542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741"/>
    <w:multiLevelType w:val="multilevel"/>
    <w:tmpl w:val="DF58BEB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9DC632C"/>
    <w:multiLevelType w:val="multilevel"/>
    <w:tmpl w:val="ADFE5BB4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nsid w:val="47723660"/>
    <w:multiLevelType w:val="hybridMultilevel"/>
    <w:tmpl w:val="69D476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8E"/>
    <w:rsid w:val="0003188E"/>
    <w:rsid w:val="000D1A6B"/>
    <w:rsid w:val="00167BE5"/>
    <w:rsid w:val="001F13DA"/>
    <w:rsid w:val="00201836"/>
    <w:rsid w:val="002B1050"/>
    <w:rsid w:val="002B57D5"/>
    <w:rsid w:val="00320A96"/>
    <w:rsid w:val="00393091"/>
    <w:rsid w:val="003C1835"/>
    <w:rsid w:val="004D1783"/>
    <w:rsid w:val="00695319"/>
    <w:rsid w:val="0070477E"/>
    <w:rsid w:val="007B25D9"/>
    <w:rsid w:val="00837AA8"/>
    <w:rsid w:val="00926B37"/>
    <w:rsid w:val="00927E16"/>
    <w:rsid w:val="009653A5"/>
    <w:rsid w:val="00967414"/>
    <w:rsid w:val="009B551B"/>
    <w:rsid w:val="009F49A1"/>
    <w:rsid w:val="00A44546"/>
    <w:rsid w:val="00B70EA1"/>
    <w:rsid w:val="00C11197"/>
    <w:rsid w:val="00C12713"/>
    <w:rsid w:val="00C93D13"/>
    <w:rsid w:val="00CA65A5"/>
    <w:rsid w:val="00D97F26"/>
    <w:rsid w:val="00DB67D3"/>
    <w:rsid w:val="00E31038"/>
    <w:rsid w:val="00E4761D"/>
    <w:rsid w:val="00E54265"/>
    <w:rsid w:val="00E571FE"/>
    <w:rsid w:val="00E77EDD"/>
    <w:rsid w:val="00F01C1A"/>
    <w:rsid w:val="00F26790"/>
    <w:rsid w:val="00F520D2"/>
    <w:rsid w:val="00F95BD3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1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1FE"/>
  </w:style>
  <w:style w:type="paragraph" w:styleId="a5">
    <w:name w:val="footer"/>
    <w:basedOn w:val="a"/>
    <w:link w:val="a6"/>
    <w:uiPriority w:val="99"/>
    <w:unhideWhenUsed/>
    <w:rsid w:val="00E571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1FE"/>
  </w:style>
  <w:style w:type="character" w:styleId="a7">
    <w:name w:val="page number"/>
    <w:basedOn w:val="a0"/>
    <w:rsid w:val="00D97F26"/>
  </w:style>
  <w:style w:type="paragraph" w:styleId="a8">
    <w:name w:val="Balloon Text"/>
    <w:basedOn w:val="a"/>
    <w:link w:val="a9"/>
    <w:uiPriority w:val="99"/>
    <w:semiHidden/>
    <w:unhideWhenUsed/>
    <w:rsid w:val="00F52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0D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F49A1"/>
    <w:pPr>
      <w:ind w:left="720"/>
      <w:contextualSpacing/>
    </w:pPr>
  </w:style>
  <w:style w:type="table" w:styleId="ab">
    <w:name w:val="Table Grid"/>
    <w:basedOn w:val="a1"/>
    <w:uiPriority w:val="39"/>
    <w:rsid w:val="004D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1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71FE"/>
  </w:style>
  <w:style w:type="paragraph" w:styleId="a5">
    <w:name w:val="footer"/>
    <w:basedOn w:val="a"/>
    <w:link w:val="a6"/>
    <w:uiPriority w:val="99"/>
    <w:unhideWhenUsed/>
    <w:rsid w:val="00E571F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71FE"/>
  </w:style>
  <w:style w:type="character" w:styleId="a7">
    <w:name w:val="page number"/>
    <w:basedOn w:val="a0"/>
    <w:rsid w:val="00D97F26"/>
  </w:style>
  <w:style w:type="paragraph" w:styleId="a8">
    <w:name w:val="Balloon Text"/>
    <w:basedOn w:val="a"/>
    <w:link w:val="a9"/>
    <w:uiPriority w:val="99"/>
    <w:semiHidden/>
    <w:unhideWhenUsed/>
    <w:rsid w:val="00F52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20D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9F49A1"/>
    <w:pPr>
      <w:ind w:left="720"/>
      <w:contextualSpacing/>
    </w:pPr>
  </w:style>
  <w:style w:type="table" w:styleId="ab">
    <w:name w:val="Table Grid"/>
    <w:basedOn w:val="a1"/>
    <w:uiPriority w:val="39"/>
    <w:rsid w:val="004D1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8329</Words>
  <Characters>4749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Тетяна Павлусенко</cp:lastModifiedBy>
  <cp:revision>21</cp:revision>
  <cp:lastPrinted>2020-02-21T12:37:00Z</cp:lastPrinted>
  <dcterms:created xsi:type="dcterms:W3CDTF">2020-02-21T11:33:00Z</dcterms:created>
  <dcterms:modified xsi:type="dcterms:W3CDTF">2020-03-11T07:52:00Z</dcterms:modified>
</cp:coreProperties>
</file>