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9DBF" w14:textId="77777777" w:rsidR="0057487C" w:rsidRPr="00332273" w:rsidRDefault="0057487C" w:rsidP="0057487C">
      <w:pPr>
        <w:spacing w:after="0" w:line="240" w:lineRule="auto"/>
        <w:ind w:left="6521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обласної ради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52648B" w14:textId="77777777" w:rsidR="008F0F7C" w:rsidRDefault="008F0F7C" w:rsidP="008F0F7C">
      <w:pPr>
        <w:spacing w:after="0" w:line="240" w:lineRule="auto"/>
        <w:ind w:firstLine="652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26.09.2024 №789</w:t>
      </w:r>
    </w:p>
    <w:p w14:paraId="2932BBE6" w14:textId="77777777" w:rsidR="0057487C" w:rsidRPr="008F0F7C" w:rsidRDefault="0057487C" w:rsidP="0057487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1A5F2366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EDDC669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Положення</w:t>
      </w:r>
    </w:p>
    <w:p w14:paraId="2D11997D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про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</w:t>
      </w:r>
    </w:p>
    <w:p w14:paraId="173A271B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FAF05B" w14:textId="77777777" w:rsidR="0057487C" w:rsidRPr="00332273" w:rsidRDefault="0057487C" w:rsidP="0057487C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Загальні положення</w:t>
      </w:r>
    </w:p>
    <w:p w14:paraId="31E399B8" w14:textId="77777777" w:rsidR="0057487C" w:rsidRPr="00332273" w:rsidRDefault="0057487C" w:rsidP="0057487C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CE657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1.1. Положення про преміювання керівників комунальних некомерційних підприємств галузі охорони здоров’я, </w:t>
      </w:r>
      <w:r w:rsidRPr="00332273">
        <w:rPr>
          <w:rFonts w:ascii="Times New Roman" w:hAnsi="Times New Roman"/>
          <w:bCs/>
          <w:sz w:val="28"/>
          <w:szCs w:val="28"/>
          <w:lang w:val="uk-UA"/>
        </w:rPr>
        <w:t>які перебувають у спільній власності територіальних громад сіл, селищ, міст Житомирської області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(далі - Положення), розроблено з метою посилення мотивації керівників комунальних некомерційних підприємств галузі охорони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КНП галузі охорони здоров’я)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32273">
        <w:rPr>
          <w:rFonts w:ascii="Times New Roman" w:hAnsi="Times New Roman"/>
          <w:bCs/>
          <w:sz w:val="28"/>
          <w:szCs w:val="28"/>
          <w:lang w:val="uk-UA"/>
        </w:rPr>
        <w:t>які перебувають у спільній власності територіальних громад сіл, селищ, міст Житомирської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32273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Pr="00332273">
        <w:rPr>
          <w:rFonts w:ascii="Times New Roman" w:hAnsi="Times New Roman"/>
          <w:sz w:val="28"/>
          <w:szCs w:val="28"/>
          <w:lang w:val="uk-UA"/>
        </w:rPr>
        <w:t>високопродуктивної та ініціативної праці, підвищення її ефективності, якості, зацікавленості у досягненні кінцевого результату, посилення персональної відповідальності за доручену роботу та поставлені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шляхом матеріального стимулювання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F6D3773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Положення передбачає умови та розміри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BF51830" w14:textId="77777777" w:rsidR="0057487C" w:rsidRPr="00332273" w:rsidRDefault="0057487C" w:rsidP="0057487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14:paraId="74ADA201" w14:textId="77777777" w:rsidR="0057487C" w:rsidRPr="00332273" w:rsidRDefault="0057487C" w:rsidP="005748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 Умови та розміри преміювання за підсумками роботи</w:t>
      </w:r>
    </w:p>
    <w:p w14:paraId="442D05E3" w14:textId="77777777" w:rsidR="0057487C" w:rsidRPr="00332273" w:rsidRDefault="0057487C" w:rsidP="0057487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47A352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2.1.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32273">
        <w:rPr>
          <w:rFonts w:ascii="Times New Roman" w:hAnsi="Times New Roman"/>
          <w:sz w:val="28"/>
          <w:szCs w:val="28"/>
          <w:lang w:val="uk-UA"/>
        </w:rPr>
        <w:t>, здійснюється відповідно до результат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роботи підприємства  за підсумками звітного періоду.</w:t>
      </w:r>
    </w:p>
    <w:p w14:paraId="6D5129B3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2.2. Звітним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періодами для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є квартал та рік.</w:t>
      </w:r>
    </w:p>
    <w:p w14:paraId="5DB9989C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2.3.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 здійснюється у межах </w:t>
      </w:r>
      <w:proofErr w:type="spellStart"/>
      <w:r w:rsidRPr="00332273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332273">
        <w:rPr>
          <w:rFonts w:ascii="Times New Roman" w:hAnsi="Times New Roman"/>
          <w:sz w:val="28"/>
          <w:szCs w:val="28"/>
        </w:rPr>
        <w:t xml:space="preserve"> на оплату </w:t>
      </w:r>
      <w:proofErr w:type="spellStart"/>
      <w:r w:rsidRPr="00332273">
        <w:rPr>
          <w:rFonts w:ascii="Times New Roman" w:hAnsi="Times New Roman"/>
          <w:sz w:val="28"/>
          <w:szCs w:val="28"/>
        </w:rPr>
        <w:t>праці</w:t>
      </w:r>
      <w:proofErr w:type="spellEnd"/>
      <w:r w:rsidRPr="003322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2273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332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273">
        <w:rPr>
          <w:rFonts w:ascii="Times New Roman" w:hAnsi="Times New Roman"/>
          <w:sz w:val="28"/>
          <w:szCs w:val="28"/>
        </w:rPr>
        <w:t>фінансовим</w:t>
      </w:r>
      <w:proofErr w:type="spellEnd"/>
      <w:r w:rsidRPr="00332273">
        <w:rPr>
          <w:rFonts w:ascii="Times New Roman" w:hAnsi="Times New Roman"/>
          <w:sz w:val="28"/>
          <w:szCs w:val="28"/>
        </w:rPr>
        <w:t xml:space="preserve"> планом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КНП.</w:t>
      </w:r>
    </w:p>
    <w:p w14:paraId="342077C2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2.4. Премія нараховується за фактично відпрацьований час у звітному періоді. За час відпусток, тимчасової непрацездатності, навчання тощо премія не нараховується. Базою для нарахування є середнє значення посадового окладу у відповідному звітному періоді.</w:t>
      </w:r>
    </w:p>
    <w:p w14:paraId="5C9F1435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2.5. Премія керівникам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 нараховується </w:t>
      </w:r>
      <w:r>
        <w:rPr>
          <w:rFonts w:ascii="Times New Roman" w:hAnsi="Times New Roman"/>
          <w:sz w:val="28"/>
          <w:szCs w:val="28"/>
          <w:lang w:val="uk-UA"/>
        </w:rPr>
        <w:t>за умови дотримання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основних умов преміювання.</w:t>
      </w:r>
    </w:p>
    <w:p w14:paraId="5DD72113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2.5.1. </w:t>
      </w:r>
      <w:r w:rsidRPr="00332273">
        <w:rPr>
          <w:rFonts w:ascii="Times New Roman" w:hAnsi="Times New Roman"/>
          <w:sz w:val="28"/>
          <w:szCs w:val="28"/>
          <w:lang w:val="uk-UA"/>
        </w:rPr>
        <w:t>Основними умовами преміювання керівників КНП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 є:</w:t>
      </w:r>
    </w:p>
    <w:p w14:paraId="211CBE5B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виконання </w:t>
      </w:r>
      <w:r w:rsidRPr="00332273">
        <w:rPr>
          <w:rFonts w:ascii="Times New Roman" w:hAnsi="Times New Roman"/>
          <w:sz w:val="28"/>
          <w:szCs w:val="28"/>
          <w:lang w:val="uk-UA"/>
        </w:rPr>
        <w:t>фінансово-економічних показників діяльності підприємства відповідно до затвердженого фінансового плану;</w:t>
      </w:r>
    </w:p>
    <w:p w14:paraId="66BF647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позитивного фінансового результату (прибутку) від звичайної діяльності);</w:t>
      </w:r>
    </w:p>
    <w:p w14:paraId="577E77BB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своєчасне та якісне виконання умов контракту;</w:t>
      </w:r>
    </w:p>
    <w:p w14:paraId="29C431D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своєчасне подання на затвердження фінансового плану підприємства;</w:t>
      </w:r>
    </w:p>
    <w:p w14:paraId="66B947C4" w14:textId="77777777" w:rsidR="0057487C" w:rsidRPr="00450A04" w:rsidRDefault="0057487C" w:rsidP="00574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0A04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332273">
        <w:rPr>
          <w:rFonts w:ascii="Times New Roman" w:hAnsi="Times New Roman"/>
          <w:sz w:val="28"/>
          <w:szCs w:val="28"/>
        </w:rPr>
        <w:t> </w:t>
      </w:r>
      <w:r w:rsidRPr="00450A04">
        <w:rPr>
          <w:rFonts w:ascii="Times New Roman" w:hAnsi="Times New Roman"/>
          <w:sz w:val="28"/>
          <w:szCs w:val="28"/>
          <w:lang w:val="uk-UA"/>
        </w:rPr>
        <w:t xml:space="preserve">своєчасне і якісне виконання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рішень обласної ради, розпоряджень голови обласної ради, </w:t>
      </w:r>
      <w:r w:rsidRPr="00450A04">
        <w:rPr>
          <w:rFonts w:ascii="Times New Roman" w:hAnsi="Times New Roman"/>
          <w:sz w:val="28"/>
          <w:szCs w:val="28"/>
          <w:lang w:val="uk-UA"/>
        </w:rPr>
        <w:t>оперативної роботи, доручень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Житомирської обласної ради, Управління майном Житомирської обласної ради</w:t>
      </w:r>
      <w:r w:rsidR="008237F7">
        <w:rPr>
          <w:rFonts w:ascii="Times New Roman" w:hAnsi="Times New Roman"/>
          <w:sz w:val="28"/>
          <w:szCs w:val="28"/>
          <w:lang w:val="uk-UA"/>
        </w:rPr>
        <w:t>, Департаменту охорони здоров’я Житомирської обласної державної (військової) адміністрації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50A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0326A8" w14:textId="77777777" w:rsidR="0057487C" w:rsidRPr="00450A04" w:rsidRDefault="0057487C" w:rsidP="00574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0A04">
        <w:rPr>
          <w:rFonts w:ascii="Times New Roman" w:hAnsi="Times New Roman"/>
          <w:sz w:val="28"/>
          <w:szCs w:val="28"/>
          <w:lang w:val="uk-UA"/>
        </w:rPr>
        <w:t>-</w:t>
      </w:r>
      <w:r w:rsidRPr="00332273">
        <w:rPr>
          <w:rFonts w:ascii="Times New Roman" w:hAnsi="Times New Roman"/>
          <w:sz w:val="28"/>
          <w:szCs w:val="28"/>
        </w:rPr>
        <w:t> </w:t>
      </w:r>
      <w:r w:rsidRPr="00450A04">
        <w:rPr>
          <w:rFonts w:ascii="Times New Roman" w:hAnsi="Times New Roman"/>
          <w:sz w:val="28"/>
          <w:szCs w:val="28"/>
          <w:lang w:val="uk-UA"/>
        </w:rPr>
        <w:t>своєчасне та якісне подання фінансової, податкової та статистичної звітності</w:t>
      </w:r>
      <w:r>
        <w:rPr>
          <w:rFonts w:ascii="Times New Roman" w:hAnsi="Times New Roman"/>
          <w:sz w:val="28"/>
          <w:szCs w:val="28"/>
          <w:lang w:val="uk-UA"/>
        </w:rPr>
        <w:t>, визначеної звітності в Управління майном Житомирської обласної ради</w:t>
      </w:r>
      <w:r w:rsidRPr="00450A04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2CEEEFEC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ефективне використання комунального майна;</w:t>
      </w:r>
    </w:p>
    <w:p w14:paraId="6576F1FF" w14:textId="77777777" w:rsidR="0057487C" w:rsidRPr="003501E9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>- недопущення нещасних випадків з вини підприємства;</w:t>
      </w:r>
    </w:p>
    <w:p w14:paraId="1F2EA57F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>- відсутність обґрунтованих скарг громадян щодо якос</w:t>
      </w:r>
      <w:r w:rsidR="00345137">
        <w:rPr>
          <w:rFonts w:ascii="Times New Roman" w:hAnsi="Times New Roman"/>
          <w:sz w:val="28"/>
          <w:szCs w:val="28"/>
          <w:lang w:val="uk-UA"/>
        </w:rPr>
        <w:t>ті надання послуг підприємством;</w:t>
      </w:r>
    </w:p>
    <w:p w14:paraId="5B8FB527" w14:textId="77777777" w:rsidR="00DE0397" w:rsidRDefault="00345137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надання якісних медичних послуг відповідно до стандартів.</w:t>
      </w:r>
    </w:p>
    <w:p w14:paraId="332585F7" w14:textId="77777777" w:rsidR="00345137" w:rsidRPr="003501E9" w:rsidRDefault="00944688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Оцінювання </w:t>
      </w:r>
      <w:r w:rsidR="00154303">
        <w:rPr>
          <w:rFonts w:ascii="Times New Roman" w:hAnsi="Times New Roman"/>
          <w:sz w:val="28"/>
          <w:szCs w:val="28"/>
          <w:lang w:val="uk-UA"/>
        </w:rPr>
        <w:t xml:space="preserve">якості </w:t>
      </w:r>
      <w:r>
        <w:rPr>
          <w:rFonts w:ascii="Times New Roman" w:hAnsi="Times New Roman"/>
          <w:sz w:val="28"/>
          <w:szCs w:val="28"/>
          <w:lang w:val="uk-UA"/>
        </w:rPr>
        <w:t>надання медичн</w:t>
      </w:r>
      <w:r w:rsidR="00154303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03">
        <w:rPr>
          <w:rFonts w:ascii="Times New Roman" w:hAnsi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покладається на Департамент охорони здоров’я Житомирської обласної державної (військової) адміністрації.</w:t>
      </w:r>
    </w:p>
    <w:p w14:paraId="419124AE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2.5.2.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Премія не нараховується </w:t>
      </w:r>
      <w:r>
        <w:rPr>
          <w:rFonts w:ascii="Times New Roman" w:hAnsi="Times New Roman"/>
          <w:sz w:val="28"/>
          <w:szCs w:val="28"/>
          <w:lang w:val="uk-UA"/>
        </w:rPr>
        <w:t>у разі</w:t>
      </w:r>
      <w:r w:rsidRPr="00332273">
        <w:rPr>
          <w:rFonts w:ascii="Times New Roman" w:hAnsi="Times New Roman"/>
          <w:sz w:val="28"/>
          <w:szCs w:val="28"/>
          <w:lang w:val="uk-UA"/>
        </w:rPr>
        <w:t>:</w:t>
      </w:r>
    </w:p>
    <w:p w14:paraId="7838F9C7" w14:textId="77777777" w:rsidR="0057487C" w:rsidRPr="009F3A1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3A1C">
        <w:rPr>
          <w:rFonts w:ascii="Times New Roman" w:hAnsi="Times New Roman"/>
          <w:sz w:val="28"/>
          <w:szCs w:val="28"/>
          <w:lang w:val="uk-UA"/>
        </w:rPr>
        <w:t>- негативн</w:t>
      </w:r>
      <w:r w:rsidR="002B2073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3A1C">
        <w:rPr>
          <w:rFonts w:ascii="Times New Roman" w:hAnsi="Times New Roman"/>
          <w:sz w:val="28"/>
          <w:szCs w:val="28"/>
          <w:lang w:val="uk-UA"/>
        </w:rPr>
        <w:t>фінансов</w:t>
      </w:r>
      <w:r w:rsidR="002B2073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результат</w:t>
      </w:r>
      <w:r w:rsidR="002B2073">
        <w:rPr>
          <w:rFonts w:ascii="Times New Roman" w:hAnsi="Times New Roman"/>
          <w:sz w:val="28"/>
          <w:szCs w:val="28"/>
          <w:lang w:val="uk-UA"/>
        </w:rPr>
        <w:t>у (збитку</w:t>
      </w:r>
      <w:r w:rsidRPr="009F3A1C">
        <w:rPr>
          <w:rFonts w:ascii="Times New Roman" w:hAnsi="Times New Roman"/>
          <w:sz w:val="28"/>
          <w:szCs w:val="28"/>
          <w:lang w:val="uk-UA"/>
        </w:rPr>
        <w:t>) від звичайної діяльності;</w:t>
      </w:r>
    </w:p>
    <w:p w14:paraId="3CD34DF1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наявн</w:t>
      </w:r>
      <w:r w:rsidR="002B2073">
        <w:rPr>
          <w:rFonts w:ascii="Times New Roman" w:hAnsi="Times New Roman"/>
          <w:sz w:val="28"/>
          <w:szCs w:val="28"/>
          <w:lang w:val="uk-UA"/>
        </w:rPr>
        <w:t xml:space="preserve">ості </w:t>
      </w:r>
      <w:r w:rsidRPr="00332273">
        <w:rPr>
          <w:rFonts w:ascii="Times New Roman" w:hAnsi="Times New Roman"/>
          <w:sz w:val="28"/>
          <w:szCs w:val="28"/>
          <w:lang w:val="uk-UA"/>
        </w:rPr>
        <w:t>заборгованості із виплати заробітної плати працівникам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КНП</w:t>
      </w:r>
      <w:r w:rsidRPr="00332273">
        <w:rPr>
          <w:rFonts w:ascii="Times New Roman" w:hAnsi="Times New Roman"/>
          <w:sz w:val="28"/>
          <w:szCs w:val="28"/>
          <w:lang w:val="uk-UA"/>
        </w:rPr>
        <w:t>;</w:t>
      </w:r>
    </w:p>
    <w:p w14:paraId="1161D9C4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наявн</w:t>
      </w:r>
      <w:r w:rsidR="002B2073">
        <w:rPr>
          <w:rFonts w:ascii="Times New Roman" w:hAnsi="Times New Roman"/>
          <w:sz w:val="28"/>
          <w:szCs w:val="28"/>
          <w:lang w:val="uk-UA"/>
        </w:rPr>
        <w:t>ості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заборгованості за спожиті КНП комунальні послуги та енергоносії;</w:t>
      </w:r>
    </w:p>
    <w:p w14:paraId="71EBE50E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наявн</w:t>
      </w:r>
      <w:r w:rsidR="002B2073">
        <w:rPr>
          <w:rFonts w:ascii="Times New Roman" w:hAnsi="Times New Roman"/>
          <w:sz w:val="28"/>
          <w:szCs w:val="28"/>
          <w:lang w:val="uk-UA"/>
        </w:rPr>
        <w:t>ості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заборгованості із платежів до державного та місцевого бюджетів;</w:t>
      </w:r>
    </w:p>
    <w:p w14:paraId="01BF346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неналежн</w:t>
      </w:r>
      <w:r w:rsidR="0065598A">
        <w:rPr>
          <w:rFonts w:ascii="Times New Roman" w:hAnsi="Times New Roman"/>
          <w:sz w:val="28"/>
          <w:szCs w:val="28"/>
          <w:lang w:val="uk-UA"/>
        </w:rPr>
        <w:t>ого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умов контракту;</w:t>
      </w:r>
    </w:p>
    <w:p w14:paraId="1F4A7065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відсутн</w:t>
      </w:r>
      <w:r w:rsidR="0065598A">
        <w:rPr>
          <w:rFonts w:ascii="Times New Roman" w:hAnsi="Times New Roman"/>
          <w:sz w:val="28"/>
          <w:szCs w:val="28"/>
          <w:lang w:val="uk-UA"/>
        </w:rPr>
        <w:t>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затвердженого річного фінансового плану КНП;</w:t>
      </w:r>
    </w:p>
    <w:p w14:paraId="05C69AC7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у разі притягнення керівника КНП до дисциплінарної відповідальності протягом строку дії дисциплінарного стягнення;</w:t>
      </w:r>
    </w:p>
    <w:p w14:paraId="2F2C84BC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несвоєчасн</w:t>
      </w:r>
      <w:r w:rsidR="0065598A">
        <w:rPr>
          <w:rFonts w:ascii="Times New Roman" w:hAnsi="Times New Roman"/>
          <w:sz w:val="28"/>
          <w:szCs w:val="28"/>
          <w:lang w:val="uk-UA"/>
        </w:rPr>
        <w:t>ого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та неналежн</w:t>
      </w:r>
      <w:r w:rsidR="0065598A">
        <w:rPr>
          <w:rFonts w:ascii="Times New Roman" w:hAnsi="Times New Roman"/>
          <w:sz w:val="28"/>
          <w:szCs w:val="28"/>
          <w:lang w:val="uk-UA"/>
        </w:rPr>
        <w:t>ого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оформленн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інформації про виконання основних фінансово-господарських показників підприємства.</w:t>
      </w:r>
    </w:p>
    <w:p w14:paraId="59ECDBDD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2.6.   Розмір премії керівника КНП</w:t>
      </w:r>
      <w:r w:rsidRPr="007D0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 за відповідний квартал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1E9">
        <w:rPr>
          <w:rFonts w:ascii="Times New Roman" w:hAnsi="Times New Roman"/>
          <w:bCs/>
          <w:sz w:val="28"/>
          <w:szCs w:val="28"/>
          <w:lang w:val="uk-UA"/>
        </w:rPr>
        <w:t xml:space="preserve">не може перевищувати </w:t>
      </w:r>
      <w:r>
        <w:rPr>
          <w:rFonts w:ascii="Times New Roman" w:hAnsi="Times New Roman"/>
          <w:bCs/>
          <w:sz w:val="28"/>
          <w:szCs w:val="28"/>
          <w:lang w:val="uk-UA"/>
        </w:rPr>
        <w:t>трьох посадових окладів</w:t>
      </w:r>
      <w:r w:rsidRPr="003501E9">
        <w:rPr>
          <w:rFonts w:ascii="Times New Roman" w:hAnsi="Times New Roman"/>
          <w:bCs/>
          <w:sz w:val="28"/>
          <w:szCs w:val="28"/>
          <w:lang w:val="uk-UA"/>
        </w:rPr>
        <w:t xml:space="preserve"> керівника підприємства без підвищень.</w:t>
      </w:r>
    </w:p>
    <w:p w14:paraId="6EBB96A2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Розмір посадового окладу керівника КНП встановлюється контрактом</w:t>
      </w:r>
      <w:r>
        <w:rPr>
          <w:rFonts w:ascii="Times New Roman" w:hAnsi="Times New Roman"/>
          <w:sz w:val="28"/>
          <w:szCs w:val="28"/>
          <w:lang w:val="uk-UA"/>
        </w:rPr>
        <w:t xml:space="preserve"> та штатним розписом КНП</w:t>
      </w:r>
      <w:r w:rsidRPr="00332273">
        <w:rPr>
          <w:rFonts w:ascii="Times New Roman" w:hAnsi="Times New Roman"/>
          <w:sz w:val="28"/>
          <w:szCs w:val="28"/>
          <w:lang w:val="uk-UA"/>
        </w:rPr>
        <w:t>.</w:t>
      </w:r>
    </w:p>
    <w:p w14:paraId="2D8EAD87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A3E471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F9912" w14:textId="77777777" w:rsidR="0057487C" w:rsidRPr="00332273" w:rsidRDefault="0057487C" w:rsidP="005748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3. Порядок нарахування та виплати премії</w:t>
      </w:r>
    </w:p>
    <w:p w14:paraId="39200F19" w14:textId="77777777" w:rsidR="0057487C" w:rsidRPr="00332273" w:rsidRDefault="0057487C" w:rsidP="005748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EFF778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3.1. Преміювання керівника КНП галузі охорони здоров’я здійснюється за результатами розгляду  інформації відповідного КНП, за підсумками роботи за квартал на підставі розпорядження голови обласної ради  у разі дотримання умов преміювання, визначених цим Положенням.</w:t>
      </w:r>
    </w:p>
    <w:p w14:paraId="19F571B7" w14:textId="77777777" w:rsidR="0057487C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3.2. </w:t>
      </w:r>
      <w:r>
        <w:rPr>
          <w:rFonts w:ascii="Times New Roman" w:hAnsi="Times New Roman"/>
          <w:sz w:val="28"/>
          <w:szCs w:val="28"/>
          <w:lang w:val="uk-UA"/>
        </w:rPr>
        <w:t>КНП з 1-го по 2</w:t>
      </w:r>
      <w:r w:rsidRPr="00332273">
        <w:rPr>
          <w:rFonts w:ascii="Times New Roman" w:hAnsi="Times New Roman"/>
          <w:sz w:val="28"/>
          <w:szCs w:val="28"/>
          <w:lang w:val="uk-UA"/>
        </w:rPr>
        <w:t>5-те число місяця</w:t>
      </w:r>
      <w:r>
        <w:rPr>
          <w:rFonts w:ascii="Times New Roman" w:hAnsi="Times New Roman"/>
          <w:sz w:val="28"/>
          <w:szCs w:val="28"/>
          <w:lang w:val="uk-UA"/>
        </w:rPr>
        <w:t xml:space="preserve">, наступного за звітним періодом, </w:t>
      </w:r>
      <w:r w:rsidRPr="00332273">
        <w:rPr>
          <w:rFonts w:ascii="Times New Roman" w:hAnsi="Times New Roman"/>
          <w:sz w:val="28"/>
          <w:szCs w:val="28"/>
          <w:lang w:val="uk-UA"/>
        </w:rPr>
        <w:t>подає у Житомирську обласну раду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щодо преміювання керівника та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інформацію (згідно з формою, зазначеною у Додатку 2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Положення) про </w:t>
      </w:r>
      <w:r w:rsidRPr="00332273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виконання основних фінансово-господарських показників підприємства (згідно з показниками, зазначеними у додатку 1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32273">
        <w:rPr>
          <w:rFonts w:ascii="Times New Roman" w:hAnsi="Times New Roman"/>
          <w:sz w:val="28"/>
          <w:szCs w:val="28"/>
          <w:lang w:val="uk-UA"/>
        </w:rPr>
        <w:t>Положення)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183904" w14:textId="77777777" w:rsidR="0057487C" w:rsidRPr="00F41A4C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. На підставі </w:t>
      </w:r>
      <w:r>
        <w:rPr>
          <w:rFonts w:ascii="Times New Roman" w:hAnsi="Times New Roman"/>
          <w:sz w:val="28"/>
          <w:szCs w:val="28"/>
          <w:lang w:val="uk-UA"/>
        </w:rPr>
        <w:t>поданої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інформації про виконання основних фінансово-господарських показників підприємства</w:t>
      </w:r>
      <w:r w:rsidR="00BA20C2">
        <w:rPr>
          <w:rFonts w:ascii="Times New Roman" w:hAnsi="Times New Roman"/>
          <w:sz w:val="28"/>
          <w:szCs w:val="28"/>
          <w:lang w:val="uk-UA"/>
        </w:rPr>
        <w:t xml:space="preserve"> та аналізу дотримання усіх умов преміювання, </w:t>
      </w:r>
      <w:r w:rsidR="0086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Управління майном Житомирської обласної ради готує </w:t>
      </w:r>
      <w:proofErr w:type="spellStart"/>
      <w:r w:rsidRPr="0033227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3227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про погодження </w:t>
      </w:r>
      <w:r>
        <w:rPr>
          <w:rFonts w:ascii="Times New Roman" w:hAnsi="Times New Roman"/>
          <w:sz w:val="28"/>
          <w:szCs w:val="28"/>
          <w:lang w:val="uk-UA"/>
        </w:rPr>
        <w:t>виплати премії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керівник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КНП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</w:t>
      </w:r>
      <w:r w:rsidR="00DE0397">
        <w:rPr>
          <w:rFonts w:ascii="Times New Roman" w:hAnsi="Times New Roman"/>
          <w:sz w:val="28"/>
          <w:szCs w:val="28"/>
          <w:lang w:val="uk-UA"/>
        </w:rPr>
        <w:t>.</w:t>
      </w:r>
    </w:p>
    <w:p w14:paraId="54504FD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A20C2">
        <w:rPr>
          <w:rFonts w:ascii="Times New Roman" w:hAnsi="Times New Roman"/>
          <w:sz w:val="28"/>
          <w:szCs w:val="28"/>
          <w:lang w:val="uk-UA"/>
        </w:rPr>
        <w:t>У разі неподання</w:t>
      </w:r>
      <w:r w:rsidR="00BA20C2" w:rsidRPr="00BA20C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Pr="00BA20C2">
        <w:rPr>
          <w:rFonts w:ascii="Times New Roman" w:hAnsi="Times New Roman"/>
          <w:sz w:val="28"/>
          <w:szCs w:val="28"/>
          <w:lang w:val="uk-UA"/>
        </w:rPr>
        <w:t>несвоєчасного</w:t>
      </w:r>
      <w:r w:rsidR="00865651" w:rsidRPr="00BA20C2">
        <w:rPr>
          <w:rFonts w:ascii="Times New Roman" w:hAnsi="Times New Roman"/>
          <w:sz w:val="28"/>
          <w:szCs w:val="28"/>
          <w:lang w:val="uk-UA"/>
        </w:rPr>
        <w:t xml:space="preserve"> подання </w:t>
      </w:r>
      <w:r>
        <w:rPr>
          <w:rFonts w:ascii="Times New Roman" w:hAnsi="Times New Roman"/>
          <w:sz w:val="28"/>
          <w:szCs w:val="28"/>
          <w:lang w:val="uk-UA"/>
        </w:rPr>
        <w:t xml:space="preserve">у Житомирську обласну раду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інформації, визначеної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п. 3.2. даного Положення, премія керівнику КНП галузі охорони здоров’я за підсумками роботи за </w:t>
      </w:r>
      <w:r>
        <w:rPr>
          <w:rFonts w:ascii="Times New Roman" w:hAnsi="Times New Roman"/>
          <w:sz w:val="28"/>
          <w:szCs w:val="28"/>
          <w:lang w:val="uk-UA"/>
        </w:rPr>
        <w:t xml:space="preserve">звітний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період не </w:t>
      </w:r>
      <w:r>
        <w:rPr>
          <w:rFonts w:ascii="Times New Roman" w:hAnsi="Times New Roman"/>
          <w:sz w:val="28"/>
          <w:szCs w:val="28"/>
          <w:lang w:val="uk-UA"/>
        </w:rPr>
        <w:t>погоджується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та не виплачується.</w:t>
      </w:r>
    </w:p>
    <w:p w14:paraId="281452B6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</w:t>
      </w:r>
      <w:r w:rsidRPr="00332273">
        <w:rPr>
          <w:rFonts w:ascii="Times New Roman" w:hAnsi="Times New Roman"/>
          <w:sz w:val="28"/>
          <w:szCs w:val="28"/>
          <w:lang w:val="uk-UA"/>
        </w:rPr>
        <w:t>. Розмір премії керівник</w:t>
      </w:r>
      <w:r>
        <w:rPr>
          <w:rFonts w:ascii="Times New Roman" w:hAnsi="Times New Roman"/>
          <w:sz w:val="28"/>
          <w:szCs w:val="28"/>
          <w:lang w:val="uk-UA"/>
        </w:rPr>
        <w:t>а 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 зменшується у розмірах </w:t>
      </w:r>
      <w:r>
        <w:rPr>
          <w:rFonts w:ascii="Times New Roman" w:hAnsi="Times New Roman"/>
          <w:sz w:val="28"/>
          <w:szCs w:val="28"/>
          <w:lang w:val="uk-UA"/>
        </w:rPr>
        <w:t>та у разі</w:t>
      </w:r>
      <w:r w:rsidRPr="00332273">
        <w:rPr>
          <w:rFonts w:ascii="Times New Roman" w:hAnsi="Times New Roman"/>
          <w:sz w:val="28"/>
          <w:szCs w:val="28"/>
          <w:lang w:val="uk-UA"/>
        </w:rPr>
        <w:t>:</w:t>
      </w:r>
    </w:p>
    <w:p w14:paraId="2EB5D4E7" w14:textId="77777777" w:rsidR="0057487C" w:rsidRPr="00332273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неналежного </w:t>
      </w:r>
      <w:r>
        <w:rPr>
          <w:rFonts w:ascii="Times New Roman" w:hAnsi="Times New Roman"/>
          <w:sz w:val="28"/>
          <w:szCs w:val="28"/>
          <w:lang w:val="uk-UA"/>
        </w:rPr>
        <w:t xml:space="preserve">чи несвоєчасного </w:t>
      </w:r>
      <w:r w:rsidRPr="00332273">
        <w:rPr>
          <w:rFonts w:ascii="Times New Roman" w:hAnsi="Times New Roman"/>
          <w:sz w:val="28"/>
          <w:szCs w:val="28"/>
          <w:lang w:val="uk-UA"/>
        </w:rPr>
        <w:t>виконання рішень Житомирської обласної ради, розпоряджень та окремих доручень голови обласної ради, його заступників</w:t>
      </w:r>
      <w:r>
        <w:rPr>
          <w:rFonts w:ascii="Times New Roman" w:hAnsi="Times New Roman"/>
          <w:sz w:val="28"/>
          <w:szCs w:val="28"/>
          <w:lang w:val="uk-UA"/>
        </w:rPr>
        <w:t>, наказів (доручень) Управління майном Житомирської обласної ради</w:t>
      </w:r>
      <w:r w:rsidR="00FF73EE">
        <w:rPr>
          <w:rFonts w:ascii="Times New Roman" w:hAnsi="Times New Roman"/>
          <w:sz w:val="28"/>
          <w:szCs w:val="28"/>
          <w:lang w:val="uk-UA"/>
        </w:rPr>
        <w:t>, Департаменту охорони здоров’я Житомирської обласної державної (військової)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у звітному періоді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– на 20 відсотків від загального розміру премії;</w:t>
      </w:r>
    </w:p>
    <w:p w14:paraId="10B57205" w14:textId="77777777" w:rsidR="0057487C" w:rsidRPr="003501E9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ряду 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підстав, передбачених законодавством та контрактом з керівником </w:t>
      </w:r>
      <w:r w:rsidRPr="00332273"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, – на 20 відсотків від загального розміру премії за кожний випадок окремо. </w:t>
      </w:r>
    </w:p>
    <w:p w14:paraId="1BE3E3F7" w14:textId="77777777" w:rsidR="0057487C" w:rsidRPr="003501E9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 xml:space="preserve">3.6. </w:t>
      </w:r>
      <w:r>
        <w:rPr>
          <w:rFonts w:ascii="Times New Roman" w:hAnsi="Times New Roman"/>
          <w:sz w:val="28"/>
          <w:szCs w:val="28"/>
          <w:lang w:val="uk-UA"/>
        </w:rPr>
        <w:t>Умови оплати праці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 викону</w:t>
      </w:r>
      <w:r>
        <w:rPr>
          <w:rFonts w:ascii="Times New Roman" w:hAnsi="Times New Roman"/>
          <w:sz w:val="28"/>
          <w:szCs w:val="28"/>
          <w:lang w:val="uk-UA"/>
        </w:rPr>
        <w:t>вача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 обов’язки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332273"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встановлюються відповідно до умов оплати праці керівника відповідного КНП</w:t>
      </w:r>
      <w:r w:rsidRPr="002B0C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AD2C69" w14:textId="77777777" w:rsidR="0057487C" w:rsidRPr="00332273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D7C07" w14:textId="77777777" w:rsidR="0057487C" w:rsidRPr="00332273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C081C" w14:textId="77777777" w:rsidR="0057487C" w:rsidRPr="00332273" w:rsidRDefault="0057487C" w:rsidP="0057487C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14:paraId="383005C5" w14:textId="77777777" w:rsidR="0057487C" w:rsidRPr="00332273" w:rsidRDefault="0057487C" w:rsidP="0057487C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голови обласної ради </w:t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32273">
        <w:rPr>
          <w:rFonts w:ascii="Times New Roman" w:hAnsi="Times New Roman"/>
          <w:sz w:val="28"/>
          <w:szCs w:val="28"/>
          <w:lang w:val="uk-UA"/>
        </w:rPr>
        <w:t>О.М. Дзюбенко</w:t>
      </w:r>
    </w:p>
    <w:p w14:paraId="255A2A1D" w14:textId="77777777" w:rsidR="0057487C" w:rsidRPr="00332273" w:rsidRDefault="0057487C" w:rsidP="0057487C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14:paraId="0F0E6252" w14:textId="77777777" w:rsidR="00714EC8" w:rsidRPr="00332273" w:rsidRDefault="00857EB2" w:rsidP="00332273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14:paraId="35DE97B7" w14:textId="77777777" w:rsidR="00714EC8" w:rsidRPr="00332273" w:rsidRDefault="00714EC8" w:rsidP="00332273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F1C9A" w14:textId="77777777" w:rsidR="00714EC8" w:rsidRPr="00332273" w:rsidRDefault="00714EC8" w:rsidP="00C35459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A9009C" w14:textId="77777777" w:rsidR="00714EC8" w:rsidRPr="00332273" w:rsidRDefault="00984958" w:rsidP="00984958">
      <w:pPr>
        <w:tabs>
          <w:tab w:val="left" w:pos="1418"/>
          <w:tab w:val="left" w:pos="1843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658FE" w:rsidRPr="00332273">
        <w:rPr>
          <w:rFonts w:ascii="Times New Roman" w:hAnsi="Times New Roman"/>
          <w:sz w:val="28"/>
          <w:szCs w:val="28"/>
          <w:lang w:val="uk-UA"/>
        </w:rPr>
        <w:lastRenderedPageBreak/>
        <w:t>Додаток 1 до Положення</w:t>
      </w:r>
    </w:p>
    <w:p w14:paraId="3A893125" w14:textId="77777777" w:rsidR="00984958" w:rsidRDefault="0098495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2F356E" w14:textId="77777777" w:rsidR="007658FE" w:rsidRPr="00332273" w:rsidRDefault="007658FE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Показники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669"/>
        <w:gridCol w:w="2228"/>
        <w:gridCol w:w="1852"/>
      </w:tblGrid>
      <w:tr w:rsidR="0030624A" w:rsidRPr="000677FB" w14:paraId="01FAA57F" w14:textId="77777777" w:rsidTr="009007C6">
        <w:tc>
          <w:tcPr>
            <w:tcW w:w="822" w:type="dxa"/>
            <w:shd w:val="clear" w:color="auto" w:fill="auto"/>
          </w:tcPr>
          <w:p w14:paraId="7A218065" w14:textId="77777777" w:rsidR="0030624A" w:rsidRPr="000677FB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4669" w:type="dxa"/>
            <w:shd w:val="clear" w:color="auto" w:fill="auto"/>
          </w:tcPr>
          <w:p w14:paraId="72478ECF" w14:textId="77777777" w:rsidR="0030624A" w:rsidRPr="000677FB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Показник преміювання</w:t>
            </w:r>
          </w:p>
        </w:tc>
        <w:tc>
          <w:tcPr>
            <w:tcW w:w="2228" w:type="dxa"/>
            <w:shd w:val="clear" w:color="auto" w:fill="auto"/>
          </w:tcPr>
          <w:p w14:paraId="3E3E9F99" w14:textId="77777777" w:rsidR="0030624A" w:rsidRPr="000677FB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Розмір преміювання у %</w:t>
            </w:r>
            <w:r w:rsidR="0030624A"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розміру премії, визначеного у п. 2.6 Положення</w:t>
            </w:r>
          </w:p>
        </w:tc>
        <w:tc>
          <w:tcPr>
            <w:tcW w:w="1852" w:type="dxa"/>
            <w:shd w:val="clear" w:color="auto" w:fill="auto"/>
          </w:tcPr>
          <w:p w14:paraId="037D88ED" w14:textId="77777777" w:rsidR="0030624A" w:rsidRPr="000677FB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Граничний розмір преміювання, %</w:t>
            </w:r>
          </w:p>
        </w:tc>
      </w:tr>
      <w:tr w:rsidR="00971DD8" w:rsidRPr="000677FB" w14:paraId="10B164F4" w14:textId="77777777" w:rsidTr="009007C6">
        <w:tc>
          <w:tcPr>
            <w:tcW w:w="822" w:type="dxa"/>
            <w:shd w:val="clear" w:color="auto" w:fill="auto"/>
          </w:tcPr>
          <w:p w14:paraId="07ABB1DC" w14:textId="77777777" w:rsidR="00971DD8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60D30BA8" w14:textId="77777777" w:rsidR="00971DD8" w:rsidRPr="000677FB" w:rsidRDefault="00971DD8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у фінансовому плані  фінансового результату від звичайної діяльності</w:t>
            </w:r>
            <w:r w:rsidR="009007C6"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(прибутку)</w:t>
            </w:r>
          </w:p>
        </w:tc>
        <w:tc>
          <w:tcPr>
            <w:tcW w:w="2228" w:type="dxa"/>
            <w:shd w:val="clear" w:color="auto" w:fill="auto"/>
          </w:tcPr>
          <w:p w14:paraId="1B73087C" w14:textId="77777777" w:rsidR="00971DD8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2" w:type="dxa"/>
            <w:shd w:val="clear" w:color="auto" w:fill="auto"/>
          </w:tcPr>
          <w:p w14:paraId="27194D26" w14:textId="77777777" w:rsidR="00971DD8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9007C6" w:rsidRPr="000677FB" w14:paraId="1D07EC5E" w14:textId="77777777" w:rsidTr="009007C6">
        <w:tc>
          <w:tcPr>
            <w:tcW w:w="822" w:type="dxa"/>
            <w:shd w:val="clear" w:color="auto" w:fill="auto"/>
          </w:tcPr>
          <w:p w14:paraId="007A9653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14:paraId="79E58BAC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2228" w:type="dxa"/>
            <w:shd w:val="clear" w:color="auto" w:fill="auto"/>
          </w:tcPr>
          <w:p w14:paraId="762C350D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18FC2AF0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0624A" w:rsidRPr="000677FB" w14:paraId="7371DAC2" w14:textId="77777777" w:rsidTr="009007C6">
        <w:tc>
          <w:tcPr>
            <w:tcW w:w="822" w:type="dxa"/>
            <w:shd w:val="clear" w:color="auto" w:fill="auto"/>
          </w:tcPr>
          <w:p w14:paraId="540387F2" w14:textId="77777777" w:rsidR="0030624A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268338CA" w14:textId="77777777" w:rsidR="0030624A" w:rsidRPr="000677FB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2228" w:type="dxa"/>
            <w:shd w:val="clear" w:color="auto" w:fill="auto"/>
          </w:tcPr>
          <w:p w14:paraId="13266A1D" w14:textId="77777777" w:rsidR="0030624A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14:paraId="43C18E03" w14:textId="77777777" w:rsidR="0030624A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007C6" w:rsidRPr="000677FB" w14:paraId="2A3E10A2" w14:textId="77777777" w:rsidTr="009007C6">
        <w:tc>
          <w:tcPr>
            <w:tcW w:w="822" w:type="dxa"/>
            <w:shd w:val="clear" w:color="auto" w:fill="auto"/>
          </w:tcPr>
          <w:p w14:paraId="71E2443A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69" w:type="dxa"/>
            <w:shd w:val="clear" w:color="auto" w:fill="auto"/>
          </w:tcPr>
          <w:p w14:paraId="106059BD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2228" w:type="dxa"/>
            <w:shd w:val="clear" w:color="auto" w:fill="auto"/>
          </w:tcPr>
          <w:p w14:paraId="5B5F5417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7329EB8A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7C6" w:rsidRPr="000677FB" w14:paraId="6941CCDF" w14:textId="77777777" w:rsidTr="009007C6">
        <w:tc>
          <w:tcPr>
            <w:tcW w:w="822" w:type="dxa"/>
            <w:shd w:val="clear" w:color="auto" w:fill="auto"/>
          </w:tcPr>
          <w:p w14:paraId="2A10E84D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69" w:type="dxa"/>
            <w:shd w:val="clear" w:color="auto" w:fill="auto"/>
          </w:tcPr>
          <w:p w14:paraId="65AC9675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</w:tc>
        <w:tc>
          <w:tcPr>
            <w:tcW w:w="2228" w:type="dxa"/>
            <w:shd w:val="clear" w:color="auto" w:fill="auto"/>
          </w:tcPr>
          <w:p w14:paraId="2914E118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14:paraId="210C2059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007C6" w:rsidRPr="000677FB" w14:paraId="5C7E7DDB" w14:textId="77777777" w:rsidTr="009007C6">
        <w:tc>
          <w:tcPr>
            <w:tcW w:w="822" w:type="dxa"/>
            <w:shd w:val="clear" w:color="auto" w:fill="auto"/>
          </w:tcPr>
          <w:p w14:paraId="1C5D7F59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69" w:type="dxa"/>
            <w:shd w:val="clear" w:color="auto" w:fill="auto"/>
          </w:tcPr>
          <w:p w14:paraId="49EB483B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</w:tc>
        <w:tc>
          <w:tcPr>
            <w:tcW w:w="2228" w:type="dxa"/>
            <w:shd w:val="clear" w:color="auto" w:fill="auto"/>
          </w:tcPr>
          <w:p w14:paraId="623EE389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21ABF263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7C6" w:rsidRPr="000677FB" w14:paraId="5288249D" w14:textId="77777777" w:rsidTr="009007C6">
        <w:tc>
          <w:tcPr>
            <w:tcW w:w="822" w:type="dxa"/>
            <w:shd w:val="clear" w:color="auto" w:fill="auto"/>
          </w:tcPr>
          <w:p w14:paraId="7BAF15BE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69" w:type="dxa"/>
            <w:shd w:val="clear" w:color="auto" w:fill="auto"/>
          </w:tcPr>
          <w:p w14:paraId="06E21C67" w14:textId="77777777" w:rsidR="009007C6" w:rsidRPr="000677FB" w:rsidRDefault="009007C6" w:rsidP="00997211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 частині надходження благодійн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допомоги </w:t>
            </w: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та грантових коштів</w:t>
            </w:r>
          </w:p>
        </w:tc>
        <w:tc>
          <w:tcPr>
            <w:tcW w:w="2228" w:type="dxa"/>
            <w:shd w:val="clear" w:color="auto" w:fill="auto"/>
          </w:tcPr>
          <w:p w14:paraId="2B6850FE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14:paraId="5BF7F53E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7C6" w:rsidRPr="000677FB" w14:paraId="6F0E3B09" w14:textId="77777777" w:rsidTr="009007C6">
        <w:tc>
          <w:tcPr>
            <w:tcW w:w="822" w:type="dxa"/>
            <w:shd w:val="clear" w:color="auto" w:fill="auto"/>
          </w:tcPr>
          <w:p w14:paraId="4BF173C0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69" w:type="dxa"/>
            <w:shd w:val="clear" w:color="auto" w:fill="auto"/>
          </w:tcPr>
          <w:p w14:paraId="08F268FE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частині надходження благодійної допомоги</w:t>
            </w: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грантових коштів</w:t>
            </w:r>
          </w:p>
        </w:tc>
        <w:tc>
          <w:tcPr>
            <w:tcW w:w="2228" w:type="dxa"/>
            <w:shd w:val="clear" w:color="auto" w:fill="auto"/>
          </w:tcPr>
          <w:p w14:paraId="56B27C63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185AD0F0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0FFBBCC9" w14:textId="77777777" w:rsidR="007658FE" w:rsidRDefault="007658FE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7862FE1" w14:textId="77777777" w:rsidR="00835AAB" w:rsidRDefault="00835AAB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E7A1CF" w14:textId="77777777" w:rsidR="00835AAB" w:rsidRDefault="00835AAB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373839" w14:textId="77777777" w:rsidR="00835AAB" w:rsidRPr="00332273" w:rsidRDefault="00835AAB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74BB21" w14:textId="77777777" w:rsidR="000677FB" w:rsidRDefault="00EE7C39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F8254A" w:rsidRPr="0033227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84CA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743B91FD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5C8F2C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ED52FD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95A31B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9F0B91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B7B77" w14:textId="77777777" w:rsidR="00071EEA" w:rsidRPr="00332273" w:rsidRDefault="00D84CA8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7658FE" w:rsidRPr="0033227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 Положення </w:t>
      </w:r>
    </w:p>
    <w:p w14:paraId="0D0C4A24" w14:textId="77777777" w:rsidR="00DC3F1C" w:rsidRDefault="00DC3F1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850C9D" w14:textId="77777777" w:rsidR="00DC3F1C" w:rsidRDefault="00DC3F1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41AC18" w14:textId="77777777" w:rsidR="007C108A" w:rsidRPr="00332273" w:rsidRDefault="00071EEA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Звіт </w:t>
      </w:r>
      <w:r w:rsidR="009863A8" w:rsidRPr="00332273">
        <w:rPr>
          <w:rFonts w:ascii="Times New Roman" w:hAnsi="Times New Roman"/>
          <w:sz w:val="28"/>
          <w:szCs w:val="28"/>
          <w:lang w:val="uk-UA"/>
        </w:rPr>
        <w:t>керівника комунального некомерційного підприємства</w:t>
      </w:r>
    </w:p>
    <w:p w14:paraId="3473CC04" w14:textId="77777777" w:rsidR="009863A8" w:rsidRPr="00332273" w:rsidRDefault="009863A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про результати виконання показників преміювання</w:t>
      </w:r>
    </w:p>
    <w:p w14:paraId="5966913D" w14:textId="77777777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за _______________20___ р. </w:t>
      </w:r>
    </w:p>
    <w:p w14:paraId="4EDEBE8E" w14:textId="77777777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(квартал</w:t>
      </w:r>
      <w:r w:rsidR="00071EEA" w:rsidRPr="00332273">
        <w:rPr>
          <w:rFonts w:ascii="Times New Roman" w:hAnsi="Times New Roman"/>
          <w:sz w:val="28"/>
          <w:szCs w:val="28"/>
          <w:lang w:val="uk-UA"/>
        </w:rPr>
        <w:t>, рік</w:t>
      </w:r>
      <w:r w:rsidRPr="00332273">
        <w:rPr>
          <w:rFonts w:ascii="Times New Roman" w:hAnsi="Times New Roman"/>
          <w:sz w:val="28"/>
          <w:szCs w:val="28"/>
          <w:lang w:val="uk-UA"/>
        </w:rPr>
        <w:t>)</w:t>
      </w:r>
    </w:p>
    <w:p w14:paraId="52412EEB" w14:textId="77777777" w:rsidR="00DC3F1C" w:rsidRDefault="00DC3F1C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1C557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Назва КНП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14:paraId="23EC5786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 (ПІБ)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</w:t>
      </w:r>
    </w:p>
    <w:p w14:paraId="3CE67D02" w14:textId="77777777" w:rsidR="009863A8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Термін дії контракту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</w:t>
      </w:r>
    </w:p>
    <w:p w14:paraId="71567A95" w14:textId="77777777" w:rsidR="00C61803" w:rsidRDefault="009007C6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Розрахункове </w:t>
      </w:r>
      <w:r w:rsidR="00345D38" w:rsidRPr="00332273">
        <w:rPr>
          <w:rFonts w:ascii="Times New Roman" w:hAnsi="Times New Roman"/>
          <w:sz w:val="28"/>
          <w:szCs w:val="28"/>
          <w:lang w:val="uk-UA"/>
        </w:rPr>
        <w:t>значення посадового окладу у відповідному звітному період</w:t>
      </w:r>
      <w:r w:rsidR="009E7E36">
        <w:rPr>
          <w:rFonts w:ascii="Times New Roman" w:hAnsi="Times New Roman"/>
          <w:sz w:val="28"/>
          <w:szCs w:val="28"/>
          <w:lang w:val="uk-UA"/>
        </w:rPr>
        <w:t>і</w:t>
      </w:r>
      <w:r w:rsidR="00DC3F1C">
        <w:rPr>
          <w:rFonts w:ascii="Times New Roman" w:hAnsi="Times New Roman"/>
          <w:sz w:val="28"/>
          <w:szCs w:val="28"/>
          <w:lang w:val="uk-UA"/>
        </w:rPr>
        <w:t xml:space="preserve"> (грн) _________</w:t>
      </w:r>
      <w:r w:rsidR="009E7E36">
        <w:rPr>
          <w:rFonts w:ascii="Times New Roman" w:hAnsi="Times New Roman"/>
          <w:sz w:val="28"/>
          <w:szCs w:val="28"/>
          <w:lang w:val="uk-UA"/>
        </w:rPr>
        <w:t>____</w:t>
      </w:r>
    </w:p>
    <w:p w14:paraId="1DA9A390" w14:textId="77777777" w:rsidR="00DC3F1C" w:rsidRDefault="00DC3F1C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F4817D" w14:textId="77777777" w:rsidR="009863A8" w:rsidRPr="00332273" w:rsidRDefault="009863A8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Ви</w:t>
      </w:r>
      <w:r w:rsidR="00835AAB">
        <w:rPr>
          <w:rFonts w:ascii="Times New Roman" w:hAnsi="Times New Roman"/>
          <w:sz w:val="28"/>
          <w:szCs w:val="28"/>
          <w:lang w:val="uk-UA"/>
        </w:rPr>
        <w:t>конання показників преміювання: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547"/>
        <w:gridCol w:w="1285"/>
        <w:gridCol w:w="1267"/>
        <w:gridCol w:w="1297"/>
        <w:gridCol w:w="1556"/>
      </w:tblGrid>
      <w:tr w:rsidR="00C90F61" w:rsidRPr="00C90F61" w14:paraId="39134230" w14:textId="77777777" w:rsidTr="00C90F61">
        <w:tc>
          <w:tcPr>
            <w:tcW w:w="672" w:type="dxa"/>
            <w:vAlign w:val="center"/>
          </w:tcPr>
          <w:p w14:paraId="32185866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3547" w:type="dxa"/>
            <w:vAlign w:val="center"/>
          </w:tcPr>
          <w:p w14:paraId="6B041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285" w:type="dxa"/>
            <w:vAlign w:val="center"/>
          </w:tcPr>
          <w:p w14:paraId="183ACCD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Плановий показник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(тис. грн)</w:t>
            </w:r>
          </w:p>
        </w:tc>
        <w:tc>
          <w:tcPr>
            <w:tcW w:w="1267" w:type="dxa"/>
            <w:vAlign w:val="center"/>
          </w:tcPr>
          <w:p w14:paraId="22D160E6" w14:textId="77777777" w:rsid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иконано за звітний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</w:t>
            </w:r>
          </w:p>
          <w:p w14:paraId="557F16A5" w14:textId="77777777" w:rsidR="00C90F61" w:rsidRP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297" w:type="dxa"/>
            <w:vAlign w:val="center"/>
          </w:tcPr>
          <w:p w14:paraId="07948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виконан</w:t>
            </w:r>
            <w:bookmarkStart w:id="0" w:name="_GoBack"/>
            <w:bookmarkEnd w:id="0"/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556" w:type="dxa"/>
          </w:tcPr>
          <w:p w14:paraId="69533B35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Розмір преміювання у % до розміру премії, визначеного у п. 2.6 Положення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граничного розміру преміювання</w:t>
            </w:r>
          </w:p>
        </w:tc>
      </w:tr>
      <w:tr w:rsidR="00C90F61" w:rsidRPr="00C90F61" w14:paraId="060E4D26" w14:textId="77777777" w:rsidTr="00C90F61">
        <w:tc>
          <w:tcPr>
            <w:tcW w:w="672" w:type="dxa"/>
          </w:tcPr>
          <w:p w14:paraId="32DEEE6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7" w:type="dxa"/>
          </w:tcPr>
          <w:p w14:paraId="2D6D8DE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5EE9F3F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5041402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246971E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1920454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F61" w:rsidRPr="00C90F61" w14:paraId="608EA78C" w14:textId="77777777" w:rsidTr="00C90F61">
        <w:tc>
          <w:tcPr>
            <w:tcW w:w="672" w:type="dxa"/>
          </w:tcPr>
          <w:p w14:paraId="6DB25F8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7" w:type="dxa"/>
          </w:tcPr>
          <w:p w14:paraId="6F089FA1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38E0C39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BD866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ED9D683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0607492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F61" w:rsidRPr="00C90F61" w14:paraId="618CE112" w14:textId="77777777" w:rsidTr="00C90F61">
        <w:tc>
          <w:tcPr>
            <w:tcW w:w="672" w:type="dxa"/>
          </w:tcPr>
          <w:p w14:paraId="5BBE9726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7" w:type="dxa"/>
          </w:tcPr>
          <w:p w14:paraId="39B97F3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1285" w:type="dxa"/>
          </w:tcPr>
          <w:p w14:paraId="1C526F3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80A19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5EC2E75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76316F6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3478C185" w14:textId="77777777" w:rsidTr="00C90F61">
        <w:tc>
          <w:tcPr>
            <w:tcW w:w="672" w:type="dxa"/>
          </w:tcPr>
          <w:p w14:paraId="74A3512B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7" w:type="dxa"/>
          </w:tcPr>
          <w:p w14:paraId="386DD27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1285" w:type="dxa"/>
          </w:tcPr>
          <w:p w14:paraId="682FCBD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0CAAC75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0EAD900D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337BEE7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13D86E7C" w14:textId="77777777" w:rsidTr="00C90F61">
        <w:tc>
          <w:tcPr>
            <w:tcW w:w="672" w:type="dxa"/>
          </w:tcPr>
          <w:p w14:paraId="17A4E72E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7" w:type="dxa"/>
          </w:tcPr>
          <w:p w14:paraId="2C459DB6" w14:textId="77777777" w:rsid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  <w:p w14:paraId="05C02C55" w14:textId="77777777" w:rsidR="00DC3F1C" w:rsidRPr="00C90F61" w:rsidRDefault="00DC3F1C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14:paraId="38716AD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721D335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6546898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E162D65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79B9C7B1" w14:textId="77777777" w:rsidTr="00C90F61">
        <w:tc>
          <w:tcPr>
            <w:tcW w:w="672" w:type="dxa"/>
          </w:tcPr>
          <w:p w14:paraId="71134903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547" w:type="dxa"/>
          </w:tcPr>
          <w:p w14:paraId="0BE4DA4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</w:tc>
        <w:tc>
          <w:tcPr>
            <w:tcW w:w="1285" w:type="dxa"/>
          </w:tcPr>
          <w:p w14:paraId="65957AED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3299C05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4F74DF8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1B0765E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0E2D5853" w14:textId="77777777" w:rsidTr="00C90F61">
        <w:tc>
          <w:tcPr>
            <w:tcW w:w="672" w:type="dxa"/>
          </w:tcPr>
          <w:p w14:paraId="672EBF71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7" w:type="dxa"/>
          </w:tcPr>
          <w:p w14:paraId="077352D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частині надходження благодійної допомоги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грантових коштів</w:t>
            </w:r>
          </w:p>
        </w:tc>
        <w:tc>
          <w:tcPr>
            <w:tcW w:w="1285" w:type="dxa"/>
          </w:tcPr>
          <w:p w14:paraId="6E3E583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68CC6E08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05A6209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13C379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6E2F8A9C" w14:textId="77777777" w:rsidTr="00C90F61">
        <w:tc>
          <w:tcPr>
            <w:tcW w:w="672" w:type="dxa"/>
          </w:tcPr>
          <w:p w14:paraId="7CA23207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7" w:type="dxa"/>
          </w:tcPr>
          <w:p w14:paraId="75663A7D" w14:textId="77777777" w:rsidR="00C90F61" w:rsidRPr="00C90F61" w:rsidRDefault="00C90F61" w:rsidP="00997211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 частині надходження благодійн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>ої допомоги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грантових коштів</w:t>
            </w:r>
          </w:p>
        </w:tc>
        <w:tc>
          <w:tcPr>
            <w:tcW w:w="1285" w:type="dxa"/>
          </w:tcPr>
          <w:p w14:paraId="6DDEC8AA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16C51A5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228F794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752D840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30E5832D" w14:textId="77777777" w:rsidR="00345D38" w:rsidRDefault="00345D3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E61C9A" w14:textId="77777777" w:rsidR="00AB357C" w:rsidRPr="00332273" w:rsidRDefault="00AB357C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Наявність у КНП заборгованості: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39"/>
        <w:gridCol w:w="1417"/>
        <w:gridCol w:w="1700"/>
        <w:gridCol w:w="1868"/>
      </w:tblGrid>
      <w:tr w:rsidR="00AB357C" w:rsidRPr="00C90F61" w14:paraId="06F9554F" w14:textId="77777777" w:rsidTr="00C90F61">
        <w:tc>
          <w:tcPr>
            <w:tcW w:w="704" w:type="dxa"/>
            <w:vMerge w:val="restart"/>
            <w:vAlign w:val="center"/>
          </w:tcPr>
          <w:p w14:paraId="69E4362E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40" w:type="dxa"/>
            <w:vMerge w:val="restart"/>
            <w:vAlign w:val="center"/>
          </w:tcPr>
          <w:p w14:paraId="72FF74D3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Вид заборгованості</w:t>
            </w:r>
          </w:p>
        </w:tc>
        <w:tc>
          <w:tcPr>
            <w:tcW w:w="4987" w:type="dxa"/>
            <w:gridSpan w:val="3"/>
            <w:vAlign w:val="center"/>
          </w:tcPr>
          <w:p w14:paraId="4D31B4FE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На останню дату кожного місяця звітного кварталу</w:t>
            </w:r>
          </w:p>
        </w:tc>
      </w:tr>
      <w:tr w:rsidR="00AB357C" w:rsidRPr="00C90F61" w14:paraId="427C47E8" w14:textId="77777777" w:rsidTr="00C90F61">
        <w:tc>
          <w:tcPr>
            <w:tcW w:w="704" w:type="dxa"/>
            <w:vMerge/>
            <w:vAlign w:val="center"/>
          </w:tcPr>
          <w:p w14:paraId="264A73CB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0" w:type="dxa"/>
            <w:vMerge/>
            <w:vAlign w:val="center"/>
          </w:tcPr>
          <w:p w14:paraId="11490026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8977DA2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6BB82CD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0295A8E0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57C" w:rsidRPr="00C90F61" w14:paraId="737BAF75" w14:textId="77777777" w:rsidTr="00C90F61">
        <w:tc>
          <w:tcPr>
            <w:tcW w:w="704" w:type="dxa"/>
          </w:tcPr>
          <w:p w14:paraId="34DF6168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40" w:type="dxa"/>
          </w:tcPr>
          <w:p w14:paraId="78A8A041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Із виплати заробітної плати працівникам КНП</w:t>
            </w:r>
          </w:p>
        </w:tc>
        <w:tc>
          <w:tcPr>
            <w:tcW w:w="1417" w:type="dxa"/>
          </w:tcPr>
          <w:p w14:paraId="7818D6C5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F438D4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13350133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57C" w:rsidRPr="00C90F61" w14:paraId="3ACA4A31" w14:textId="77777777" w:rsidTr="00C90F61">
        <w:tc>
          <w:tcPr>
            <w:tcW w:w="704" w:type="dxa"/>
          </w:tcPr>
          <w:p w14:paraId="6B07029A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40" w:type="dxa"/>
          </w:tcPr>
          <w:p w14:paraId="06FBCBC1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Зі сплати за спожиті комунальні послуги та енергоносії</w:t>
            </w:r>
          </w:p>
        </w:tc>
        <w:tc>
          <w:tcPr>
            <w:tcW w:w="1417" w:type="dxa"/>
          </w:tcPr>
          <w:p w14:paraId="04C45DB2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4B1A13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683455BE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57C" w:rsidRPr="00C90F61" w14:paraId="0AFAA710" w14:textId="77777777" w:rsidTr="00C90F61">
        <w:tc>
          <w:tcPr>
            <w:tcW w:w="704" w:type="dxa"/>
          </w:tcPr>
          <w:p w14:paraId="7D8D106A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40" w:type="dxa"/>
          </w:tcPr>
          <w:p w14:paraId="27BBB1D0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Зі сплати платежів до державного і місцевого бюджетів</w:t>
            </w:r>
          </w:p>
        </w:tc>
        <w:tc>
          <w:tcPr>
            <w:tcW w:w="1417" w:type="dxa"/>
          </w:tcPr>
          <w:p w14:paraId="66A1436A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A424F4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5B2A909C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4CE7C3FD" w14:textId="77777777" w:rsidR="00AB357C" w:rsidRPr="00332273" w:rsidRDefault="00AB357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Примітка: у разі наявності заборгованості обов’язково вказати її складові</w:t>
      </w:r>
    </w:p>
    <w:p w14:paraId="72569D12" w14:textId="77777777" w:rsidR="00AB357C" w:rsidRPr="00332273" w:rsidRDefault="00AB357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D4A569" w14:textId="77777777" w:rsidR="00C61803" w:rsidRPr="00332273" w:rsidRDefault="00AB357C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Розрахунковий розмір премії за результатами виконання показників преміювання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 xml:space="preserve"> відповідно до Додатку 1 до Положення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у ___ кварталі </w:t>
      </w:r>
      <w:r w:rsidR="00321747" w:rsidRPr="00332273">
        <w:rPr>
          <w:rFonts w:ascii="Times New Roman" w:hAnsi="Times New Roman"/>
          <w:sz w:val="28"/>
          <w:szCs w:val="28"/>
          <w:lang w:val="uk-UA"/>
        </w:rPr>
        <w:t>____ року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>: ___________</w:t>
      </w:r>
      <w:r w:rsidR="00C90F61">
        <w:rPr>
          <w:rFonts w:ascii="Times New Roman" w:hAnsi="Times New Roman"/>
          <w:sz w:val="28"/>
          <w:szCs w:val="28"/>
          <w:lang w:val="uk-UA"/>
        </w:rPr>
        <w:t>%.</w:t>
      </w:r>
    </w:p>
    <w:p w14:paraId="1BDAA050" w14:textId="77777777" w:rsidR="00C90F61" w:rsidRDefault="00C90F61" w:rsidP="00835AAB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44D795" w14:textId="77777777" w:rsidR="00AB357C" w:rsidRPr="00332273" w:rsidRDefault="00321747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Розрахунковий % зниження розміру премії 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відповідно до пункту 3.6 Положення: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16"/>
        <w:gridCol w:w="1357"/>
      </w:tblGrid>
      <w:tr w:rsidR="00C61803" w:rsidRPr="00C90F61" w14:paraId="7AB92A32" w14:textId="77777777" w:rsidTr="00835AAB">
        <w:tc>
          <w:tcPr>
            <w:tcW w:w="704" w:type="dxa"/>
            <w:vAlign w:val="center"/>
          </w:tcPr>
          <w:p w14:paraId="450F43A6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7616" w:type="dxa"/>
            <w:vAlign w:val="center"/>
          </w:tcPr>
          <w:p w14:paraId="75A30CF2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357" w:type="dxa"/>
            <w:vAlign w:val="center"/>
          </w:tcPr>
          <w:p w14:paraId="0B34915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зменшення</w:t>
            </w:r>
          </w:p>
        </w:tc>
      </w:tr>
      <w:tr w:rsidR="00C61803" w:rsidRPr="008F0F7C" w14:paraId="082B3EBB" w14:textId="77777777" w:rsidTr="00835AAB">
        <w:tc>
          <w:tcPr>
            <w:tcW w:w="704" w:type="dxa"/>
          </w:tcPr>
          <w:p w14:paraId="2C94ADB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16" w:type="dxa"/>
          </w:tcPr>
          <w:p w14:paraId="5ED8E82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Випадки у звітному кварталі неналежного виконання рішень Житомирської обласної ради, розпоряджень та окремих доручень голови обласної ради, його заступників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, Управління майном Житомирської обласної ради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97211" w:rsidRPr="0099721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охорони здоров’я Житомирської обласної державної (військової) адміністрації</w:t>
            </w:r>
          </w:p>
        </w:tc>
        <w:tc>
          <w:tcPr>
            <w:tcW w:w="1357" w:type="dxa"/>
          </w:tcPr>
          <w:p w14:paraId="424FBDA5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61803" w:rsidRPr="00C90F61" w14:paraId="1A6E2572" w14:textId="77777777" w:rsidTr="00835AAB">
        <w:tc>
          <w:tcPr>
            <w:tcW w:w="704" w:type="dxa"/>
          </w:tcPr>
          <w:p w14:paraId="7E1252F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6" w:type="dxa"/>
          </w:tcPr>
          <w:p w14:paraId="2005AF11" w14:textId="77777777" w:rsidR="00C61803" w:rsidRPr="00C90F61" w:rsidRDefault="00C61803" w:rsidP="009E7E3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Інші підстави, передбачен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законодавством та контрактом з керівником комунального некомерційного підприємства</w:t>
            </w:r>
          </w:p>
        </w:tc>
        <w:tc>
          <w:tcPr>
            <w:tcW w:w="1357" w:type="dxa"/>
          </w:tcPr>
          <w:p w14:paraId="1519D0DB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0E9F4F9F" w14:textId="77777777" w:rsidR="00321747" w:rsidRPr="00332273" w:rsidRDefault="00C90F61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Розрахунковий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 xml:space="preserve"> розмір квартальної премії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, з урахуванням зниження 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835AAB">
        <w:rPr>
          <w:rFonts w:ascii="Times New Roman" w:hAnsi="Times New Roman"/>
          <w:sz w:val="28"/>
          <w:szCs w:val="28"/>
          <w:lang w:val="uk-UA"/>
        </w:rPr>
        <w:t>__</w:t>
      </w:r>
      <w:r w:rsidR="00DC3F1C">
        <w:rPr>
          <w:rFonts w:ascii="Times New Roman" w:hAnsi="Times New Roman"/>
          <w:sz w:val="28"/>
          <w:szCs w:val="28"/>
          <w:lang w:val="uk-UA"/>
        </w:rPr>
        <w:t>_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>%</w:t>
      </w:r>
    </w:p>
    <w:p w14:paraId="10BE4C00" w14:textId="77777777" w:rsidR="00C61803" w:rsidRDefault="00C61803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76492E" w14:textId="77777777" w:rsidR="00345D38" w:rsidRDefault="00C61803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</w:t>
      </w:r>
      <w:r w:rsidRPr="00332273">
        <w:rPr>
          <w:rFonts w:ascii="Times New Roman" w:hAnsi="Times New Roman"/>
          <w:sz w:val="28"/>
          <w:szCs w:val="28"/>
          <w:lang w:val="uk-UA"/>
        </w:rPr>
        <w:br/>
      </w:r>
    </w:p>
    <w:p w14:paraId="27E257DB" w14:textId="77777777" w:rsidR="00C61803" w:rsidRPr="00332273" w:rsidRDefault="00C61803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Головний бухгалтер</w:t>
      </w:r>
    </w:p>
    <w:sectPr w:rsidR="00C61803" w:rsidRPr="00332273" w:rsidSect="009007C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C5754" w14:textId="77777777" w:rsidR="00650FAA" w:rsidRDefault="00650FAA" w:rsidP="00984958">
      <w:pPr>
        <w:spacing w:after="0" w:line="240" w:lineRule="auto"/>
      </w:pPr>
      <w:r>
        <w:separator/>
      </w:r>
    </w:p>
  </w:endnote>
  <w:endnote w:type="continuationSeparator" w:id="0">
    <w:p w14:paraId="72DD5CF7" w14:textId="77777777" w:rsidR="00650FAA" w:rsidRDefault="00650FAA" w:rsidP="0098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AE11A" w14:textId="77777777" w:rsidR="00650FAA" w:rsidRDefault="00650FAA" w:rsidP="00984958">
      <w:pPr>
        <w:spacing w:after="0" w:line="240" w:lineRule="auto"/>
      </w:pPr>
      <w:r>
        <w:separator/>
      </w:r>
    </w:p>
  </w:footnote>
  <w:footnote w:type="continuationSeparator" w:id="0">
    <w:p w14:paraId="4F8188B4" w14:textId="77777777" w:rsidR="00650FAA" w:rsidRDefault="00650FAA" w:rsidP="0098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A849" w14:textId="77777777" w:rsidR="00984958" w:rsidRDefault="009849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F0F7C" w:rsidRPr="008F0F7C">
      <w:rPr>
        <w:noProof/>
        <w:lang w:val="uk-UA"/>
      </w:rPr>
      <w:t>2</w:t>
    </w:r>
    <w:r>
      <w:fldChar w:fldCharType="end"/>
    </w:r>
  </w:p>
  <w:p w14:paraId="2CF6C4B9" w14:textId="77777777" w:rsidR="00984958" w:rsidRDefault="009849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7D73"/>
    <w:multiLevelType w:val="hybridMultilevel"/>
    <w:tmpl w:val="7D86E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624CE"/>
    <w:multiLevelType w:val="hybridMultilevel"/>
    <w:tmpl w:val="9EEE939E"/>
    <w:lvl w:ilvl="0" w:tplc="A4C2149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374AA"/>
    <w:multiLevelType w:val="multilevel"/>
    <w:tmpl w:val="6922A7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>
    <w:nsid w:val="5C6B370B"/>
    <w:multiLevelType w:val="hybridMultilevel"/>
    <w:tmpl w:val="B9B6EE18"/>
    <w:lvl w:ilvl="0" w:tplc="E3C206C0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6E0C7F8D"/>
    <w:multiLevelType w:val="hybridMultilevel"/>
    <w:tmpl w:val="1DEEA480"/>
    <w:lvl w:ilvl="0" w:tplc="E3C206C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715808F9"/>
    <w:multiLevelType w:val="hybridMultilevel"/>
    <w:tmpl w:val="B31CDA80"/>
    <w:lvl w:ilvl="0" w:tplc="33B074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D9"/>
    <w:rsid w:val="00000741"/>
    <w:rsid w:val="00005A3D"/>
    <w:rsid w:val="00011ED4"/>
    <w:rsid w:val="000124B5"/>
    <w:rsid w:val="00032416"/>
    <w:rsid w:val="00051252"/>
    <w:rsid w:val="00063320"/>
    <w:rsid w:val="00063D16"/>
    <w:rsid w:val="000677FB"/>
    <w:rsid w:val="00071EEA"/>
    <w:rsid w:val="00083D17"/>
    <w:rsid w:val="00085341"/>
    <w:rsid w:val="00090BAE"/>
    <w:rsid w:val="00096149"/>
    <w:rsid w:val="000A7DAE"/>
    <w:rsid w:val="000D1EEE"/>
    <w:rsid w:val="000D4108"/>
    <w:rsid w:val="000E2AF4"/>
    <w:rsid w:val="000E6CD2"/>
    <w:rsid w:val="00110CE8"/>
    <w:rsid w:val="00121640"/>
    <w:rsid w:val="00147723"/>
    <w:rsid w:val="00154303"/>
    <w:rsid w:val="00163009"/>
    <w:rsid w:val="0018458C"/>
    <w:rsid w:val="00187785"/>
    <w:rsid w:val="00187A02"/>
    <w:rsid w:val="0019371D"/>
    <w:rsid w:val="00197E0B"/>
    <w:rsid w:val="001A2D41"/>
    <w:rsid w:val="001A6354"/>
    <w:rsid w:val="001D3A55"/>
    <w:rsid w:val="001D7431"/>
    <w:rsid w:val="001D7E7B"/>
    <w:rsid w:val="001D7F9E"/>
    <w:rsid w:val="001F6296"/>
    <w:rsid w:val="00201BB3"/>
    <w:rsid w:val="00205459"/>
    <w:rsid w:val="00235B72"/>
    <w:rsid w:val="00254069"/>
    <w:rsid w:val="002570D8"/>
    <w:rsid w:val="00275400"/>
    <w:rsid w:val="002834C7"/>
    <w:rsid w:val="00290D13"/>
    <w:rsid w:val="002A6ADB"/>
    <w:rsid w:val="002B0CCB"/>
    <w:rsid w:val="002B1C12"/>
    <w:rsid w:val="002B2073"/>
    <w:rsid w:val="002C66CF"/>
    <w:rsid w:val="002D2A03"/>
    <w:rsid w:val="003010CA"/>
    <w:rsid w:val="00302B37"/>
    <w:rsid w:val="0030624A"/>
    <w:rsid w:val="00307AE9"/>
    <w:rsid w:val="00311803"/>
    <w:rsid w:val="00321747"/>
    <w:rsid w:val="00332273"/>
    <w:rsid w:val="003417BC"/>
    <w:rsid w:val="00342B43"/>
    <w:rsid w:val="00345137"/>
    <w:rsid w:val="00345580"/>
    <w:rsid w:val="00345D38"/>
    <w:rsid w:val="003501E9"/>
    <w:rsid w:val="0036163D"/>
    <w:rsid w:val="00362FB8"/>
    <w:rsid w:val="00365A39"/>
    <w:rsid w:val="00367813"/>
    <w:rsid w:val="003A0305"/>
    <w:rsid w:val="003A16BF"/>
    <w:rsid w:val="003A2196"/>
    <w:rsid w:val="003B76B1"/>
    <w:rsid w:val="003C65DE"/>
    <w:rsid w:val="003E29B3"/>
    <w:rsid w:val="003E77A6"/>
    <w:rsid w:val="004077C0"/>
    <w:rsid w:val="00413CA4"/>
    <w:rsid w:val="00416C74"/>
    <w:rsid w:val="0042308A"/>
    <w:rsid w:val="004267E2"/>
    <w:rsid w:val="004269D3"/>
    <w:rsid w:val="0044308E"/>
    <w:rsid w:val="00444163"/>
    <w:rsid w:val="00450A04"/>
    <w:rsid w:val="00452BB1"/>
    <w:rsid w:val="0045344E"/>
    <w:rsid w:val="00454EEE"/>
    <w:rsid w:val="00467F85"/>
    <w:rsid w:val="00475271"/>
    <w:rsid w:val="00481723"/>
    <w:rsid w:val="00484360"/>
    <w:rsid w:val="004864A6"/>
    <w:rsid w:val="004A0A2B"/>
    <w:rsid w:val="004A7479"/>
    <w:rsid w:val="004B535E"/>
    <w:rsid w:val="004E18CB"/>
    <w:rsid w:val="004E2FE2"/>
    <w:rsid w:val="0050093D"/>
    <w:rsid w:val="005071B8"/>
    <w:rsid w:val="00510F36"/>
    <w:rsid w:val="0051770A"/>
    <w:rsid w:val="00525561"/>
    <w:rsid w:val="00547A7C"/>
    <w:rsid w:val="00562CAB"/>
    <w:rsid w:val="00567B38"/>
    <w:rsid w:val="0057487C"/>
    <w:rsid w:val="00592EFE"/>
    <w:rsid w:val="00592F7E"/>
    <w:rsid w:val="005C155B"/>
    <w:rsid w:val="005C36DE"/>
    <w:rsid w:val="005D5593"/>
    <w:rsid w:val="005E3E02"/>
    <w:rsid w:val="005F18A6"/>
    <w:rsid w:val="005F6786"/>
    <w:rsid w:val="00601398"/>
    <w:rsid w:val="00611A65"/>
    <w:rsid w:val="0062184A"/>
    <w:rsid w:val="006255AF"/>
    <w:rsid w:val="00634C3C"/>
    <w:rsid w:val="0063717E"/>
    <w:rsid w:val="00640EC6"/>
    <w:rsid w:val="00650FAA"/>
    <w:rsid w:val="00651D2A"/>
    <w:rsid w:val="00653F8A"/>
    <w:rsid w:val="0065598A"/>
    <w:rsid w:val="0065603D"/>
    <w:rsid w:val="006630AA"/>
    <w:rsid w:val="00673D82"/>
    <w:rsid w:val="00674BFD"/>
    <w:rsid w:val="00681019"/>
    <w:rsid w:val="00682394"/>
    <w:rsid w:val="006A4F60"/>
    <w:rsid w:val="006C07FE"/>
    <w:rsid w:val="006C4520"/>
    <w:rsid w:val="007020CD"/>
    <w:rsid w:val="00713146"/>
    <w:rsid w:val="00714EC8"/>
    <w:rsid w:val="00722D53"/>
    <w:rsid w:val="00733BC5"/>
    <w:rsid w:val="00734129"/>
    <w:rsid w:val="00743998"/>
    <w:rsid w:val="007500B5"/>
    <w:rsid w:val="00754A2E"/>
    <w:rsid w:val="007658FE"/>
    <w:rsid w:val="00774B30"/>
    <w:rsid w:val="0078593A"/>
    <w:rsid w:val="00793E4C"/>
    <w:rsid w:val="007B1D82"/>
    <w:rsid w:val="007B7020"/>
    <w:rsid w:val="007C108A"/>
    <w:rsid w:val="007D02C1"/>
    <w:rsid w:val="007D0623"/>
    <w:rsid w:val="007D4A17"/>
    <w:rsid w:val="007E575B"/>
    <w:rsid w:val="007F0440"/>
    <w:rsid w:val="00804F72"/>
    <w:rsid w:val="00811F63"/>
    <w:rsid w:val="008133C1"/>
    <w:rsid w:val="00813B89"/>
    <w:rsid w:val="008157C3"/>
    <w:rsid w:val="0082049F"/>
    <w:rsid w:val="008237F7"/>
    <w:rsid w:val="00831629"/>
    <w:rsid w:val="00833470"/>
    <w:rsid w:val="00835AAB"/>
    <w:rsid w:val="00843C2E"/>
    <w:rsid w:val="00850314"/>
    <w:rsid w:val="00851AF1"/>
    <w:rsid w:val="00857EB2"/>
    <w:rsid w:val="00865651"/>
    <w:rsid w:val="00871203"/>
    <w:rsid w:val="008847DE"/>
    <w:rsid w:val="00884AEF"/>
    <w:rsid w:val="008959D8"/>
    <w:rsid w:val="008C07B4"/>
    <w:rsid w:val="008C395E"/>
    <w:rsid w:val="008C438B"/>
    <w:rsid w:val="008C7CF7"/>
    <w:rsid w:val="008C7EC2"/>
    <w:rsid w:val="008F0F7C"/>
    <w:rsid w:val="008F1FB9"/>
    <w:rsid w:val="008F7640"/>
    <w:rsid w:val="009007C6"/>
    <w:rsid w:val="00915173"/>
    <w:rsid w:val="0092387E"/>
    <w:rsid w:val="00927B9B"/>
    <w:rsid w:val="00934AA2"/>
    <w:rsid w:val="009368FA"/>
    <w:rsid w:val="00940BD7"/>
    <w:rsid w:val="00942112"/>
    <w:rsid w:val="00943CB9"/>
    <w:rsid w:val="00944688"/>
    <w:rsid w:val="00946360"/>
    <w:rsid w:val="00947E61"/>
    <w:rsid w:val="00971DD8"/>
    <w:rsid w:val="009834BC"/>
    <w:rsid w:val="00984958"/>
    <w:rsid w:val="009863A8"/>
    <w:rsid w:val="00987EA9"/>
    <w:rsid w:val="00993F3D"/>
    <w:rsid w:val="00997211"/>
    <w:rsid w:val="009B10BC"/>
    <w:rsid w:val="009C1317"/>
    <w:rsid w:val="009C4E53"/>
    <w:rsid w:val="009E7E36"/>
    <w:rsid w:val="009F2A5A"/>
    <w:rsid w:val="009F3A1C"/>
    <w:rsid w:val="009F3ED4"/>
    <w:rsid w:val="009F495F"/>
    <w:rsid w:val="009F4963"/>
    <w:rsid w:val="00A04EB2"/>
    <w:rsid w:val="00A119C9"/>
    <w:rsid w:val="00A2041B"/>
    <w:rsid w:val="00A2322A"/>
    <w:rsid w:val="00A42B26"/>
    <w:rsid w:val="00A42FB5"/>
    <w:rsid w:val="00A669F1"/>
    <w:rsid w:val="00A66CDA"/>
    <w:rsid w:val="00A84A06"/>
    <w:rsid w:val="00A870E4"/>
    <w:rsid w:val="00AA5617"/>
    <w:rsid w:val="00AB07E0"/>
    <w:rsid w:val="00AB357C"/>
    <w:rsid w:val="00AB7A09"/>
    <w:rsid w:val="00AC07F2"/>
    <w:rsid w:val="00AC1812"/>
    <w:rsid w:val="00AF0FDE"/>
    <w:rsid w:val="00AF2CC5"/>
    <w:rsid w:val="00AF4B36"/>
    <w:rsid w:val="00B1138F"/>
    <w:rsid w:val="00B17F6C"/>
    <w:rsid w:val="00B2120E"/>
    <w:rsid w:val="00B25B06"/>
    <w:rsid w:val="00B34000"/>
    <w:rsid w:val="00B35990"/>
    <w:rsid w:val="00B45282"/>
    <w:rsid w:val="00B45F14"/>
    <w:rsid w:val="00B5590A"/>
    <w:rsid w:val="00B55CE6"/>
    <w:rsid w:val="00B61865"/>
    <w:rsid w:val="00B97666"/>
    <w:rsid w:val="00BA20C2"/>
    <w:rsid w:val="00BA2893"/>
    <w:rsid w:val="00BB47D9"/>
    <w:rsid w:val="00BD6D3D"/>
    <w:rsid w:val="00BE1079"/>
    <w:rsid w:val="00BF3464"/>
    <w:rsid w:val="00BF7DA5"/>
    <w:rsid w:val="00C03476"/>
    <w:rsid w:val="00C07D29"/>
    <w:rsid w:val="00C125CE"/>
    <w:rsid w:val="00C34858"/>
    <w:rsid w:val="00C35459"/>
    <w:rsid w:val="00C373CA"/>
    <w:rsid w:val="00C53769"/>
    <w:rsid w:val="00C61803"/>
    <w:rsid w:val="00C63ACB"/>
    <w:rsid w:val="00C64929"/>
    <w:rsid w:val="00C6745F"/>
    <w:rsid w:val="00C76E99"/>
    <w:rsid w:val="00C90F61"/>
    <w:rsid w:val="00C915D0"/>
    <w:rsid w:val="00C94873"/>
    <w:rsid w:val="00C96EE3"/>
    <w:rsid w:val="00CA6C52"/>
    <w:rsid w:val="00CB314D"/>
    <w:rsid w:val="00CC10AE"/>
    <w:rsid w:val="00CE0447"/>
    <w:rsid w:val="00CF51D2"/>
    <w:rsid w:val="00CF52F9"/>
    <w:rsid w:val="00CF66E1"/>
    <w:rsid w:val="00D1072B"/>
    <w:rsid w:val="00D11BBF"/>
    <w:rsid w:val="00D2214E"/>
    <w:rsid w:val="00D33D11"/>
    <w:rsid w:val="00D45707"/>
    <w:rsid w:val="00D570F7"/>
    <w:rsid w:val="00D63685"/>
    <w:rsid w:val="00D65532"/>
    <w:rsid w:val="00D72E23"/>
    <w:rsid w:val="00D84CA8"/>
    <w:rsid w:val="00D91452"/>
    <w:rsid w:val="00DB0905"/>
    <w:rsid w:val="00DC3F1C"/>
    <w:rsid w:val="00DE0397"/>
    <w:rsid w:val="00E051AB"/>
    <w:rsid w:val="00E24386"/>
    <w:rsid w:val="00E26D69"/>
    <w:rsid w:val="00E308DE"/>
    <w:rsid w:val="00E334EB"/>
    <w:rsid w:val="00E46628"/>
    <w:rsid w:val="00E542B8"/>
    <w:rsid w:val="00E66E67"/>
    <w:rsid w:val="00E67D3F"/>
    <w:rsid w:val="00E911E2"/>
    <w:rsid w:val="00E94D66"/>
    <w:rsid w:val="00E97CCE"/>
    <w:rsid w:val="00EA496B"/>
    <w:rsid w:val="00EA6F66"/>
    <w:rsid w:val="00EA7D9F"/>
    <w:rsid w:val="00EB7561"/>
    <w:rsid w:val="00ED3710"/>
    <w:rsid w:val="00ED3F39"/>
    <w:rsid w:val="00EE5534"/>
    <w:rsid w:val="00EE5DB7"/>
    <w:rsid w:val="00EE7C39"/>
    <w:rsid w:val="00EF36BE"/>
    <w:rsid w:val="00F024AE"/>
    <w:rsid w:val="00F04F16"/>
    <w:rsid w:val="00F113CA"/>
    <w:rsid w:val="00F13A23"/>
    <w:rsid w:val="00F41A4C"/>
    <w:rsid w:val="00F61F7D"/>
    <w:rsid w:val="00F728EC"/>
    <w:rsid w:val="00F802D3"/>
    <w:rsid w:val="00F8254A"/>
    <w:rsid w:val="00F826F1"/>
    <w:rsid w:val="00F917B1"/>
    <w:rsid w:val="00F95F15"/>
    <w:rsid w:val="00F976C1"/>
    <w:rsid w:val="00FA3E0F"/>
    <w:rsid w:val="00FB5D63"/>
    <w:rsid w:val="00FE21B1"/>
    <w:rsid w:val="00FF1469"/>
    <w:rsid w:val="00FF21BA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F2A7"/>
  <w15:chartTrackingRefBased/>
  <w15:docId w15:val="{B2ABD5D3-8726-43D8-BF58-2CBFA39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1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08"/>
    <w:pPr>
      <w:ind w:left="720"/>
      <w:contextualSpacing/>
    </w:pPr>
  </w:style>
  <w:style w:type="table" w:styleId="a4">
    <w:name w:val="Table Grid"/>
    <w:basedOn w:val="a1"/>
    <w:uiPriority w:val="39"/>
    <w:rsid w:val="0042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46628"/>
    <w:rPr>
      <w:rFonts w:ascii="Segoe UI" w:hAnsi="Segoe UI" w:cs="Segoe UI"/>
      <w:sz w:val="18"/>
      <w:szCs w:val="18"/>
    </w:rPr>
  </w:style>
  <w:style w:type="paragraph" w:customStyle="1" w:styleId="a7">
    <w:name w:val="Назва документа"/>
    <w:basedOn w:val="a"/>
    <w:next w:val="a"/>
    <w:rsid w:val="009F3ED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Normal (Web)"/>
    <w:basedOn w:val="a"/>
    <w:rsid w:val="00BF7D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98495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984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0D3F-6977-402E-BC51-413B91D4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2024-09-11T06:19:00Z</cp:lastPrinted>
  <dcterms:created xsi:type="dcterms:W3CDTF">2024-09-30T07:36:00Z</dcterms:created>
  <dcterms:modified xsi:type="dcterms:W3CDTF">2024-09-30T07:37:00Z</dcterms:modified>
</cp:coreProperties>
</file>